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9A" w:rsidRDefault="00CC3865" w:rsidP="00CC3865">
      <w:pPr>
        <w:jc w:val="right"/>
      </w:pPr>
      <w:r>
        <w:t>Name:  _______________________</w:t>
      </w:r>
    </w:p>
    <w:p w:rsidR="00CC3865" w:rsidRDefault="00CC3865" w:rsidP="00CC3865">
      <w:pPr>
        <w:jc w:val="right"/>
      </w:pPr>
      <w:r>
        <w:t>Date:  _______________</w:t>
      </w:r>
    </w:p>
    <w:p w:rsidR="00CC3865" w:rsidRDefault="00CC3865" w:rsidP="00CC3865">
      <w:pPr>
        <w:jc w:val="right"/>
      </w:pPr>
      <w:r>
        <w:t>Period:  __________</w:t>
      </w:r>
    </w:p>
    <w:p w:rsidR="00CC3865" w:rsidRDefault="00CC3865" w:rsidP="00CC3865">
      <w:r>
        <w:t>Review of Exponents with Negative Bases</w:t>
      </w:r>
    </w:p>
    <w:p w:rsidR="00CC3865" w:rsidRDefault="00CC3865" w:rsidP="00CC3865"/>
    <w:p w:rsidR="00CC3865" w:rsidRDefault="00CC3865" w:rsidP="00CC3865"/>
    <w:p w:rsidR="00CC3865" w:rsidRDefault="00CC3865" w:rsidP="00CC3865"/>
    <w:p w:rsidR="00CC3865" w:rsidRDefault="00CC3865" w:rsidP="00CC3865">
      <w:r>
        <w:t>Think about what the expression is saying</w:t>
      </w:r>
    </w:p>
    <w:p w:rsidR="00CC3865" w:rsidRDefault="00CC3865" w:rsidP="00CC3865"/>
    <w:p w:rsidR="00CC3865" w:rsidRDefault="00CC3865" w:rsidP="009D1039">
      <w:pPr>
        <w:pStyle w:val="ListParagraph"/>
        <w:numPr>
          <w:ilvl w:val="0"/>
          <w:numId w:val="1"/>
        </w:numPr>
      </w:pPr>
      <w:r w:rsidRPr="00CC3865">
        <w:rPr>
          <w:position w:val="-6"/>
        </w:rPr>
        <w:object w:dxaOrig="4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18pt" o:ole="">
            <v:imagedata r:id="rId6" o:title=""/>
          </v:shape>
          <o:OLEObject Type="Embed" ProgID="Equation.DSMT4" ShapeID="_x0000_i1025" DrawAspect="Content" ObjectID="_1379336749" r:id="rId7"/>
        </w:object>
      </w:r>
      <w:r>
        <w:t xml:space="preserve">:  Means the opposite of </w:t>
      </w:r>
      <w:r w:rsidRPr="00CC3865">
        <w:rPr>
          <w:position w:val="-6"/>
        </w:rPr>
        <w:object w:dxaOrig="300" w:dyaOrig="360">
          <v:shape id="_x0000_i1026" type="#_x0000_t75" style="width:15pt;height:18pt" o:ole="">
            <v:imagedata r:id="rId8" o:title=""/>
          </v:shape>
          <o:OLEObject Type="Embed" ProgID="Equation.DSMT4" ShapeID="_x0000_i1026" DrawAspect="Content" ObjectID="_1379336750" r:id="rId9"/>
        </w:object>
      </w:r>
    </w:p>
    <w:p w:rsidR="00CC3865" w:rsidRDefault="00CC3865" w:rsidP="00CC3865">
      <w:r>
        <w:tab/>
      </w:r>
      <w:r w:rsidR="009D1039">
        <w:tab/>
      </w:r>
      <w:r w:rsidRPr="00CC3865">
        <w:rPr>
          <w:position w:val="-6"/>
        </w:rPr>
        <w:object w:dxaOrig="1600" w:dyaOrig="360">
          <v:shape id="_x0000_i1027" type="#_x0000_t75" style="width:80.25pt;height:18pt" o:ole="">
            <v:imagedata r:id="rId10" o:title=""/>
          </v:shape>
          <o:OLEObject Type="Embed" ProgID="Equation.DSMT4" ShapeID="_x0000_i1027" DrawAspect="Content" ObjectID="_1379336751" r:id="rId11"/>
        </w:object>
      </w:r>
      <w:r>
        <w:t xml:space="preserve">    So the opposite of that would be -25</w:t>
      </w:r>
    </w:p>
    <w:p w:rsidR="00CC3865" w:rsidRDefault="00CC3865" w:rsidP="00CC3865">
      <w:r>
        <w:tab/>
      </w:r>
      <w:r>
        <w:tab/>
      </w:r>
      <w:r>
        <w:tab/>
      </w:r>
      <w:r>
        <w:tab/>
      </w:r>
      <w:r>
        <w:tab/>
      </w:r>
      <w:r w:rsidRPr="00CC3865">
        <w:rPr>
          <w:position w:val="-12"/>
        </w:rPr>
        <w:object w:dxaOrig="1579" w:dyaOrig="420">
          <v:shape id="_x0000_i1028" type="#_x0000_t75" style="width:78.75pt;height:21pt" o:ole="">
            <v:imagedata r:id="rId12" o:title=""/>
          </v:shape>
          <o:OLEObject Type="Embed" ProgID="Equation.DSMT4" ShapeID="_x0000_i1028" DrawAspect="Content" ObjectID="_1379336752" r:id="rId13"/>
        </w:object>
      </w:r>
    </w:p>
    <w:p w:rsidR="00CC3865" w:rsidRDefault="00CC3865" w:rsidP="00CC3865">
      <w:r>
        <w:tab/>
      </w:r>
      <w:r>
        <w:tab/>
      </w:r>
      <w:r>
        <w:tab/>
      </w:r>
      <w:r>
        <w:tab/>
      </w:r>
      <w:r>
        <w:tab/>
      </w:r>
      <w:r>
        <w:tab/>
      </w:r>
      <w:r w:rsidR="009D1039">
        <w:t xml:space="preserve">= </w:t>
      </w:r>
      <w:r w:rsidRPr="00CC3865">
        <w:rPr>
          <w:position w:val="-12"/>
        </w:rPr>
        <w:object w:dxaOrig="700" w:dyaOrig="360">
          <v:shape id="_x0000_i1029" type="#_x0000_t75" style="width:35.25pt;height:18pt" o:ole="">
            <v:imagedata r:id="rId14" o:title=""/>
          </v:shape>
          <o:OLEObject Type="Embed" ProgID="Equation.DSMT4" ShapeID="_x0000_i1029" DrawAspect="Content" ObjectID="_1379336753" r:id="rId15"/>
        </w:object>
      </w:r>
    </w:p>
    <w:p w:rsidR="00CC3865" w:rsidRDefault="00CC3865" w:rsidP="00CC3865">
      <w:r>
        <w:tab/>
      </w:r>
      <w:r>
        <w:tab/>
      </w:r>
      <w:r>
        <w:tab/>
      </w:r>
      <w:r>
        <w:tab/>
      </w:r>
      <w:r>
        <w:tab/>
      </w:r>
      <w:r>
        <w:tab/>
      </w:r>
      <w:r w:rsidR="009D1039">
        <w:t xml:space="preserve">= </w:t>
      </w:r>
      <w:r w:rsidRPr="00CC3865">
        <w:rPr>
          <w:position w:val="-6"/>
        </w:rPr>
        <w:object w:dxaOrig="499" w:dyaOrig="300">
          <v:shape id="_x0000_i1030" type="#_x0000_t75" style="width:24.75pt;height:15pt" o:ole="">
            <v:imagedata r:id="rId16" o:title=""/>
          </v:shape>
          <o:OLEObject Type="Embed" ProgID="Equation.DSMT4" ShapeID="_x0000_i1030" DrawAspect="Content" ObjectID="_1379336754" r:id="rId17"/>
        </w:object>
      </w:r>
      <w:r>
        <w:tab/>
      </w:r>
    </w:p>
    <w:p w:rsidR="00CC3865" w:rsidRDefault="00CC3865" w:rsidP="009D1039">
      <w:pPr>
        <w:pStyle w:val="ListParagraph"/>
        <w:numPr>
          <w:ilvl w:val="0"/>
          <w:numId w:val="1"/>
        </w:numPr>
      </w:pPr>
      <w:r w:rsidRPr="00CC3865">
        <w:rPr>
          <w:position w:val="-12"/>
        </w:rPr>
        <w:object w:dxaOrig="639" w:dyaOrig="420">
          <v:shape id="_x0000_i1031" type="#_x0000_t75" style="width:32.25pt;height:21pt" o:ole="">
            <v:imagedata r:id="rId18" o:title=""/>
          </v:shape>
          <o:OLEObject Type="Embed" ProgID="Equation.DSMT4" ShapeID="_x0000_i1031" DrawAspect="Content" ObjectID="_1379336755" r:id="rId19"/>
        </w:object>
      </w:r>
      <w:r>
        <w:t xml:space="preserve">:  Means </w:t>
      </w:r>
      <w:r w:rsidRPr="00CC3865">
        <w:rPr>
          <w:position w:val="-12"/>
        </w:rPr>
        <w:object w:dxaOrig="1040" w:dyaOrig="360">
          <v:shape id="_x0000_i1032" type="#_x0000_t75" style="width:51.75pt;height:18pt" o:ole="">
            <v:imagedata r:id="rId20" o:title=""/>
          </v:shape>
          <o:OLEObject Type="Embed" ProgID="Equation.DSMT4" ShapeID="_x0000_i1032" DrawAspect="Content" ObjectID="_1379336756" r:id="rId21"/>
        </w:object>
      </w:r>
    </w:p>
    <w:p w:rsidR="00CC3865" w:rsidRDefault="00CC3865" w:rsidP="00CC3865">
      <w:r>
        <w:tab/>
      </w:r>
      <w:r>
        <w:tab/>
        <w:t xml:space="preserve">       </w:t>
      </w:r>
      <w:r w:rsidR="009D1039">
        <w:tab/>
        <w:t xml:space="preserve">       = </w:t>
      </w:r>
      <w:r w:rsidRPr="00CC3865">
        <w:rPr>
          <w:position w:val="-6"/>
        </w:rPr>
        <w:object w:dxaOrig="340" w:dyaOrig="300">
          <v:shape id="_x0000_i1033" type="#_x0000_t75" style="width:17.25pt;height:15pt" o:ole="">
            <v:imagedata r:id="rId22" o:title=""/>
          </v:shape>
          <o:OLEObject Type="Embed" ProgID="Equation.DSMT4" ShapeID="_x0000_i1033" DrawAspect="Content" ObjectID="_1379336757" r:id="rId23"/>
        </w:object>
      </w:r>
    </w:p>
    <w:p w:rsidR="00CC3865" w:rsidRDefault="00CC3865" w:rsidP="00CC3865"/>
    <w:p w:rsidR="00CC3865" w:rsidRDefault="00CC3865" w:rsidP="00CC3865"/>
    <w:p w:rsidR="00CC3865" w:rsidRDefault="00CC3865" w:rsidP="009D1039">
      <w:pPr>
        <w:pStyle w:val="ListParagraph"/>
        <w:numPr>
          <w:ilvl w:val="0"/>
          <w:numId w:val="1"/>
        </w:numPr>
      </w:pPr>
      <w:r w:rsidRPr="00CC3865">
        <w:rPr>
          <w:position w:val="-6"/>
        </w:rPr>
        <w:object w:dxaOrig="440" w:dyaOrig="360">
          <v:shape id="_x0000_i1034" type="#_x0000_t75" style="width:21.75pt;height:18pt" o:ole="">
            <v:imagedata r:id="rId24" o:title=""/>
          </v:shape>
          <o:OLEObject Type="Embed" ProgID="Equation.DSMT4" ShapeID="_x0000_i1034" DrawAspect="Content" ObjectID="_1379336758" r:id="rId25"/>
        </w:object>
      </w:r>
      <w:r>
        <w:t xml:space="preserve">:  Means the opposite of </w:t>
      </w:r>
      <w:r w:rsidRPr="00CC3865">
        <w:rPr>
          <w:position w:val="-6"/>
        </w:rPr>
        <w:object w:dxaOrig="279" w:dyaOrig="360">
          <v:shape id="_x0000_i1035" type="#_x0000_t75" style="width:14.25pt;height:18pt" o:ole="">
            <v:imagedata r:id="rId26" o:title=""/>
          </v:shape>
          <o:OLEObject Type="Embed" ProgID="Equation.DSMT4" ShapeID="_x0000_i1035" DrawAspect="Content" ObjectID="_1379336759" r:id="rId27"/>
        </w:object>
      </w:r>
    </w:p>
    <w:p w:rsidR="00CC3865" w:rsidRDefault="00CC3865" w:rsidP="00CC3865">
      <w:r>
        <w:tab/>
      </w:r>
      <w:r w:rsidR="009D1039">
        <w:tab/>
      </w:r>
      <w:r w:rsidRPr="00CC3865">
        <w:rPr>
          <w:position w:val="-6"/>
        </w:rPr>
        <w:object w:dxaOrig="2060" w:dyaOrig="360">
          <v:shape id="_x0000_i1036" type="#_x0000_t75" style="width:102.75pt;height:18pt" o:ole="">
            <v:imagedata r:id="rId28" o:title=""/>
          </v:shape>
          <o:OLEObject Type="Embed" ProgID="Equation.DSMT4" ShapeID="_x0000_i1036" DrawAspect="Content" ObjectID="_1379336760" r:id="rId29"/>
        </w:object>
      </w:r>
      <w:r w:rsidR="009D1039">
        <w:t xml:space="preserve">      So the opposite of that would be -125</w:t>
      </w:r>
    </w:p>
    <w:p w:rsidR="009D1039" w:rsidRDefault="009D1039" w:rsidP="00CC3865"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1039">
        <w:rPr>
          <w:position w:val="-12"/>
        </w:rPr>
        <w:object w:dxaOrig="1900" w:dyaOrig="420">
          <v:shape id="_x0000_i1037" type="#_x0000_t75" style="width:95.25pt;height:21pt" o:ole="">
            <v:imagedata r:id="rId30" o:title=""/>
          </v:shape>
          <o:OLEObject Type="Embed" ProgID="Equation.DSMT4" ShapeID="_x0000_i1037" DrawAspect="Content" ObjectID="_1379336761" r:id="rId31"/>
        </w:object>
      </w:r>
    </w:p>
    <w:p w:rsidR="009D1039" w:rsidRDefault="009D1039" w:rsidP="00CC38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= </w:t>
      </w:r>
      <w:r w:rsidRPr="009D1039">
        <w:rPr>
          <w:position w:val="-12"/>
        </w:rPr>
        <w:object w:dxaOrig="820" w:dyaOrig="360">
          <v:shape id="_x0000_i1038" type="#_x0000_t75" style="width:41.25pt;height:18pt" o:ole="">
            <v:imagedata r:id="rId32" o:title=""/>
          </v:shape>
          <o:OLEObject Type="Embed" ProgID="Equation.DSMT4" ShapeID="_x0000_i1038" DrawAspect="Content" ObjectID="_1379336762" r:id="rId33"/>
        </w:object>
      </w:r>
    </w:p>
    <w:p w:rsidR="009D1039" w:rsidRDefault="009D1039" w:rsidP="009D1039">
      <w:pPr>
        <w:ind w:left="4320" w:firstLine="720"/>
      </w:pPr>
      <w:r>
        <w:t xml:space="preserve">= </w:t>
      </w:r>
      <w:r w:rsidRPr="009D1039">
        <w:rPr>
          <w:position w:val="-6"/>
        </w:rPr>
        <w:object w:dxaOrig="639" w:dyaOrig="300">
          <v:shape id="_x0000_i1039" type="#_x0000_t75" style="width:32.25pt;height:15pt" o:ole="">
            <v:imagedata r:id="rId34" o:title=""/>
          </v:shape>
          <o:OLEObject Type="Embed" ProgID="Equation.DSMT4" ShapeID="_x0000_i1039" DrawAspect="Content" ObjectID="_1379336763" r:id="rId35"/>
        </w:object>
      </w:r>
    </w:p>
    <w:p w:rsidR="009D1039" w:rsidRDefault="009D1039" w:rsidP="009D1039"/>
    <w:p w:rsidR="009D1039" w:rsidRDefault="009D1039" w:rsidP="009D1039">
      <w:pPr>
        <w:pStyle w:val="ListParagraph"/>
        <w:numPr>
          <w:ilvl w:val="0"/>
          <w:numId w:val="1"/>
        </w:numPr>
      </w:pPr>
      <w:r w:rsidRPr="009D1039">
        <w:rPr>
          <w:position w:val="-12"/>
        </w:rPr>
        <w:object w:dxaOrig="639" w:dyaOrig="420">
          <v:shape id="_x0000_i1040" type="#_x0000_t75" style="width:32.25pt;height:21pt" o:ole="">
            <v:imagedata r:id="rId36" o:title=""/>
          </v:shape>
          <o:OLEObject Type="Embed" ProgID="Equation.DSMT4" ShapeID="_x0000_i1040" DrawAspect="Content" ObjectID="_1379336764" r:id="rId37"/>
        </w:object>
      </w:r>
      <w:r>
        <w:t xml:space="preserve">:  Means </w:t>
      </w:r>
      <w:r w:rsidRPr="009D1039">
        <w:rPr>
          <w:position w:val="-12"/>
        </w:rPr>
        <w:object w:dxaOrig="1520" w:dyaOrig="360">
          <v:shape id="_x0000_i1041" type="#_x0000_t75" style="width:75.75pt;height:18pt" o:ole="">
            <v:imagedata r:id="rId38" o:title=""/>
          </v:shape>
          <o:OLEObject Type="Embed" ProgID="Equation.DSMT4" ShapeID="_x0000_i1041" DrawAspect="Content" ObjectID="_1379336765" r:id="rId39"/>
        </w:object>
      </w:r>
    </w:p>
    <w:p w:rsidR="009D1039" w:rsidRDefault="009D1039" w:rsidP="009D1039">
      <w:pPr>
        <w:ind w:left="2160" w:firstLine="720"/>
      </w:pPr>
      <w:r>
        <w:t xml:space="preserve">= </w:t>
      </w:r>
      <w:r w:rsidRPr="009D1039">
        <w:rPr>
          <w:position w:val="-12"/>
        </w:rPr>
        <w:object w:dxaOrig="840" w:dyaOrig="360">
          <v:shape id="_x0000_i1042" type="#_x0000_t75" style="width:42pt;height:18pt" o:ole="">
            <v:imagedata r:id="rId40" o:title=""/>
          </v:shape>
          <o:OLEObject Type="Embed" ProgID="Equation.DSMT4" ShapeID="_x0000_i1042" DrawAspect="Content" ObjectID="_1379336766" r:id="rId41"/>
        </w:object>
      </w:r>
    </w:p>
    <w:p w:rsidR="009D1039" w:rsidRDefault="009D1039" w:rsidP="009D1039">
      <w:pPr>
        <w:ind w:left="2160" w:firstLine="720"/>
      </w:pPr>
      <w:r>
        <w:t xml:space="preserve">= </w:t>
      </w:r>
      <w:r w:rsidRPr="009D1039">
        <w:rPr>
          <w:position w:val="-6"/>
        </w:rPr>
        <w:object w:dxaOrig="639" w:dyaOrig="300">
          <v:shape id="_x0000_i1043" type="#_x0000_t75" style="width:32.25pt;height:15pt" o:ole="">
            <v:imagedata r:id="rId42" o:title=""/>
          </v:shape>
          <o:OLEObject Type="Embed" ProgID="Equation.DSMT4" ShapeID="_x0000_i1043" DrawAspect="Content" ObjectID="_1379336767" r:id="rId43"/>
        </w:object>
      </w:r>
    </w:p>
    <w:p w:rsidR="009D1039" w:rsidRDefault="009D1039" w:rsidP="009D1039">
      <w:bookmarkStart w:id="0" w:name="_GoBack"/>
      <w:bookmarkEnd w:id="0"/>
    </w:p>
    <w:sectPr w:rsidR="009D1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16171"/>
    <w:multiLevelType w:val="hybridMultilevel"/>
    <w:tmpl w:val="8AC07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65"/>
    <w:rsid w:val="000051AD"/>
    <w:rsid w:val="00010A6D"/>
    <w:rsid w:val="00017A89"/>
    <w:rsid w:val="000211B7"/>
    <w:rsid w:val="00034252"/>
    <w:rsid w:val="00060478"/>
    <w:rsid w:val="00091249"/>
    <w:rsid w:val="0009486C"/>
    <w:rsid w:val="000A06E4"/>
    <w:rsid w:val="000B4BF1"/>
    <w:rsid w:val="000C33A1"/>
    <w:rsid w:val="000D1428"/>
    <w:rsid w:val="000D5AC5"/>
    <w:rsid w:val="00151DE5"/>
    <w:rsid w:val="00172105"/>
    <w:rsid w:val="001753E7"/>
    <w:rsid w:val="001B043D"/>
    <w:rsid w:val="001D1D96"/>
    <w:rsid w:val="001D26D8"/>
    <w:rsid w:val="001D39C9"/>
    <w:rsid w:val="001D489E"/>
    <w:rsid w:val="001E3169"/>
    <w:rsid w:val="001E6664"/>
    <w:rsid w:val="002013ED"/>
    <w:rsid w:val="00236C1B"/>
    <w:rsid w:val="00240F71"/>
    <w:rsid w:val="0024336A"/>
    <w:rsid w:val="0025497B"/>
    <w:rsid w:val="0026272F"/>
    <w:rsid w:val="002813A7"/>
    <w:rsid w:val="00287EB3"/>
    <w:rsid w:val="00297C5B"/>
    <w:rsid w:val="002A6FAD"/>
    <w:rsid w:val="002C2512"/>
    <w:rsid w:val="002D4689"/>
    <w:rsid w:val="0031070C"/>
    <w:rsid w:val="00327B0B"/>
    <w:rsid w:val="00330018"/>
    <w:rsid w:val="003348D3"/>
    <w:rsid w:val="003610B4"/>
    <w:rsid w:val="00361D77"/>
    <w:rsid w:val="003A0AA3"/>
    <w:rsid w:val="003E7EEE"/>
    <w:rsid w:val="00415A8A"/>
    <w:rsid w:val="00454A37"/>
    <w:rsid w:val="00456F19"/>
    <w:rsid w:val="00470177"/>
    <w:rsid w:val="00470CB6"/>
    <w:rsid w:val="00472B22"/>
    <w:rsid w:val="004C5BC8"/>
    <w:rsid w:val="00553B08"/>
    <w:rsid w:val="00572B9E"/>
    <w:rsid w:val="00586792"/>
    <w:rsid w:val="00590CB5"/>
    <w:rsid w:val="005A27A8"/>
    <w:rsid w:val="005A5A13"/>
    <w:rsid w:val="005B1A9F"/>
    <w:rsid w:val="005B3627"/>
    <w:rsid w:val="005D4359"/>
    <w:rsid w:val="005E19D6"/>
    <w:rsid w:val="005F79E7"/>
    <w:rsid w:val="006054D2"/>
    <w:rsid w:val="0060745C"/>
    <w:rsid w:val="00654C0D"/>
    <w:rsid w:val="0068195C"/>
    <w:rsid w:val="006A7942"/>
    <w:rsid w:val="006D176B"/>
    <w:rsid w:val="006F6337"/>
    <w:rsid w:val="00724A51"/>
    <w:rsid w:val="00724EE5"/>
    <w:rsid w:val="00730C58"/>
    <w:rsid w:val="00740790"/>
    <w:rsid w:val="0074235F"/>
    <w:rsid w:val="0075225A"/>
    <w:rsid w:val="0076269A"/>
    <w:rsid w:val="00786625"/>
    <w:rsid w:val="00790496"/>
    <w:rsid w:val="007907EC"/>
    <w:rsid w:val="00793375"/>
    <w:rsid w:val="007A3303"/>
    <w:rsid w:val="007B0376"/>
    <w:rsid w:val="007B1919"/>
    <w:rsid w:val="007B4473"/>
    <w:rsid w:val="007B61C6"/>
    <w:rsid w:val="007C142A"/>
    <w:rsid w:val="007D0308"/>
    <w:rsid w:val="007D286D"/>
    <w:rsid w:val="008005BF"/>
    <w:rsid w:val="00806A32"/>
    <w:rsid w:val="0086669F"/>
    <w:rsid w:val="00867654"/>
    <w:rsid w:val="00883177"/>
    <w:rsid w:val="008B540D"/>
    <w:rsid w:val="008E5507"/>
    <w:rsid w:val="008F3A4B"/>
    <w:rsid w:val="008F5A4C"/>
    <w:rsid w:val="008F7E2A"/>
    <w:rsid w:val="00920C80"/>
    <w:rsid w:val="00956DEA"/>
    <w:rsid w:val="00967493"/>
    <w:rsid w:val="00974EDF"/>
    <w:rsid w:val="00980965"/>
    <w:rsid w:val="009971FA"/>
    <w:rsid w:val="009A146A"/>
    <w:rsid w:val="009A63B0"/>
    <w:rsid w:val="009D1039"/>
    <w:rsid w:val="009D14AE"/>
    <w:rsid w:val="009F7BC1"/>
    <w:rsid w:val="00A2056F"/>
    <w:rsid w:val="00A46920"/>
    <w:rsid w:val="00A57203"/>
    <w:rsid w:val="00A6454D"/>
    <w:rsid w:val="00A71D0A"/>
    <w:rsid w:val="00A81428"/>
    <w:rsid w:val="00A817B7"/>
    <w:rsid w:val="00A91941"/>
    <w:rsid w:val="00AA64D9"/>
    <w:rsid w:val="00AA674B"/>
    <w:rsid w:val="00AA76F2"/>
    <w:rsid w:val="00AC1757"/>
    <w:rsid w:val="00AC19C9"/>
    <w:rsid w:val="00AC3F0A"/>
    <w:rsid w:val="00AD3E94"/>
    <w:rsid w:val="00AF31C3"/>
    <w:rsid w:val="00B06F74"/>
    <w:rsid w:val="00B12958"/>
    <w:rsid w:val="00B161BD"/>
    <w:rsid w:val="00B43FDD"/>
    <w:rsid w:val="00B73A68"/>
    <w:rsid w:val="00B8709B"/>
    <w:rsid w:val="00BA4072"/>
    <w:rsid w:val="00BB3004"/>
    <w:rsid w:val="00BD16BD"/>
    <w:rsid w:val="00BE5228"/>
    <w:rsid w:val="00C1292C"/>
    <w:rsid w:val="00C573F5"/>
    <w:rsid w:val="00C81FB0"/>
    <w:rsid w:val="00C82BE0"/>
    <w:rsid w:val="00C85E66"/>
    <w:rsid w:val="00CC1AAF"/>
    <w:rsid w:val="00CC3865"/>
    <w:rsid w:val="00CE72E9"/>
    <w:rsid w:val="00D2156C"/>
    <w:rsid w:val="00D22306"/>
    <w:rsid w:val="00D2589E"/>
    <w:rsid w:val="00D373D8"/>
    <w:rsid w:val="00D548BF"/>
    <w:rsid w:val="00DA35D1"/>
    <w:rsid w:val="00DD44C5"/>
    <w:rsid w:val="00DD5B7B"/>
    <w:rsid w:val="00DD5FB1"/>
    <w:rsid w:val="00DE25F9"/>
    <w:rsid w:val="00DE673A"/>
    <w:rsid w:val="00E0425A"/>
    <w:rsid w:val="00E41C64"/>
    <w:rsid w:val="00E426AD"/>
    <w:rsid w:val="00E43044"/>
    <w:rsid w:val="00E43E05"/>
    <w:rsid w:val="00E47D09"/>
    <w:rsid w:val="00E5612F"/>
    <w:rsid w:val="00E61DD7"/>
    <w:rsid w:val="00E85641"/>
    <w:rsid w:val="00E934CC"/>
    <w:rsid w:val="00EA1C47"/>
    <w:rsid w:val="00ED26AE"/>
    <w:rsid w:val="00ED3DD5"/>
    <w:rsid w:val="00EE5FFD"/>
    <w:rsid w:val="00F000A4"/>
    <w:rsid w:val="00F05770"/>
    <w:rsid w:val="00F06292"/>
    <w:rsid w:val="00F11AEC"/>
    <w:rsid w:val="00F22EBD"/>
    <w:rsid w:val="00F24958"/>
    <w:rsid w:val="00F727DD"/>
    <w:rsid w:val="00FB0217"/>
    <w:rsid w:val="00FB4C9C"/>
    <w:rsid w:val="00FC621D"/>
    <w:rsid w:val="00FC782B"/>
    <w:rsid w:val="00FE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2011-10-05T20:01:00Z</dcterms:created>
  <dcterms:modified xsi:type="dcterms:W3CDTF">2011-10-05T20:18:00Z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