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76269A"/>
    <w:p w:rsidR="00AC56A6" w:rsidRPr="00AC56A6" w:rsidRDefault="00AC56A6" w:rsidP="00AC56A6">
      <w:pPr>
        <w:jc w:val="center"/>
        <w:rPr>
          <w:b/>
        </w:rPr>
      </w:pPr>
      <w:r w:rsidRPr="00AC56A6">
        <w:rPr>
          <w:b/>
        </w:rPr>
        <w:t>SOL 8.3 Vocabulary</w:t>
      </w:r>
    </w:p>
    <w:p w:rsidR="00AC56A6" w:rsidRPr="00281BDC" w:rsidRDefault="00AC56A6">
      <w:pPr>
        <w:rPr>
          <w:sz w:val="12"/>
          <w:szCs w:val="12"/>
        </w:rPr>
      </w:pPr>
    </w:p>
    <w:p w:rsidR="00AC56A6" w:rsidRDefault="00AC56A6">
      <w:pPr>
        <w:rPr>
          <w:b/>
          <w:i/>
        </w:rPr>
      </w:pPr>
      <w:r w:rsidRPr="00C83A51">
        <w:rPr>
          <w:b/>
          <w:i/>
        </w:rPr>
        <w:t>Directions:  Read each definition carefully.  Use the word bank to match the vocabulary word to the proper definition.</w:t>
      </w:r>
      <w:r w:rsidR="00C83A51" w:rsidRPr="00C83A51">
        <w:rPr>
          <w:b/>
          <w:i/>
        </w:rPr>
        <w:t xml:space="preserve">  Write the word in the blank provided.</w:t>
      </w:r>
      <w:r w:rsidR="00B02F24">
        <w:rPr>
          <w:b/>
          <w:i/>
        </w:rPr>
        <w:t xml:space="preserve"> Each word can be used only once.</w:t>
      </w:r>
    </w:p>
    <w:p w:rsidR="0010554A" w:rsidRDefault="006053AC">
      <w:pPr>
        <w:rPr>
          <w:b/>
          <w:i/>
        </w:rPr>
      </w:pPr>
      <w:r w:rsidRPr="006053A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AAE39" wp14:editId="737AB8D0">
                <wp:simplePos x="0" y="0"/>
                <wp:positionH relativeFrom="column">
                  <wp:posOffset>8626</wp:posOffset>
                </wp:positionH>
                <wp:positionV relativeFrom="paragraph">
                  <wp:posOffset>147513</wp:posOffset>
                </wp:positionV>
                <wp:extent cx="6944265" cy="836762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265" cy="8367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0C4" w:rsidRDefault="006053AC">
                            <w:r>
                              <w:t>Rate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2063E">
                              <w:tab/>
                            </w:r>
                            <w:r w:rsidR="002163CA">
                              <w:tab/>
                            </w:r>
                            <w:r>
                              <w:t>Selling Price</w:t>
                            </w:r>
                            <w:r>
                              <w:tab/>
                            </w:r>
                            <w:r>
                              <w:tab/>
                              <w:t>Unit Rate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6C7D">
                              <w:t>Interest</w:t>
                            </w:r>
                            <w:r w:rsidR="008000C4">
                              <w:tab/>
                            </w:r>
                            <w:r w:rsidR="00BB7738">
                              <w:tab/>
                            </w:r>
                            <w:r w:rsidR="00BB7738">
                              <w:tab/>
                            </w:r>
                            <w:r w:rsidR="008000C4">
                              <w:t>Tip</w:t>
                            </w:r>
                          </w:p>
                          <w:p w:rsidR="006053AC" w:rsidRDefault="00F2063E">
                            <w:r>
                              <w:t>Discount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163CA">
                              <w:tab/>
                            </w:r>
                            <w:r w:rsidR="008000C4">
                              <w:t>Percent of Increase</w:t>
                            </w:r>
                            <w:r w:rsidR="008000C4">
                              <w:tab/>
                            </w:r>
                            <w:r>
                              <w:t>Tax Rate</w:t>
                            </w:r>
                            <w:r>
                              <w:tab/>
                            </w:r>
                            <w:r>
                              <w:tab/>
                              <w:t>Proportion</w:t>
                            </w:r>
                            <w:r w:rsidR="008000C4">
                              <w:tab/>
                            </w:r>
                            <w:r w:rsidR="008000C4">
                              <w:tab/>
                              <w:t>Tax</w:t>
                            </w:r>
                          </w:p>
                          <w:p w:rsidR="006053AC" w:rsidRDefault="00F2063E">
                            <w:r>
                              <w:t>Discount Rate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163CA">
                              <w:tab/>
                            </w:r>
                            <w:r>
                              <w:t>Percent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Mark Up</w:t>
                            </w:r>
                            <w:r>
                              <w:tab/>
                            </w:r>
                            <w:r>
                              <w:tab/>
                              <w:t>Discount Price</w:t>
                            </w:r>
                            <w:r>
                              <w:tab/>
                            </w:r>
                            <w:r w:rsidR="008000C4">
                              <w:tab/>
                              <w:t>Ratio</w:t>
                            </w:r>
                          </w:p>
                          <w:p w:rsidR="006053AC" w:rsidRDefault="008000C4">
                            <w:r>
                              <w:t>Percent of Decrease</w:t>
                            </w:r>
                            <w:r w:rsidR="00F2063E">
                              <w:tab/>
                            </w:r>
                            <w:r w:rsidR="00F2063E">
                              <w:tab/>
                              <w:t>Principle</w:t>
                            </w:r>
                            <w:r w:rsidR="00F2063E">
                              <w:tab/>
                            </w:r>
                            <w:r w:rsidR="00F2063E">
                              <w:tab/>
                              <w:t>Percent of Change</w:t>
                            </w:r>
                            <w:r w:rsidR="00F2063E">
                              <w:tab/>
                            </w:r>
                            <w:r w:rsidR="00416C7D">
                              <w:t>Interest Rate</w:t>
                            </w:r>
                            <w:r>
                              <w:tab/>
                            </w:r>
                            <w:r>
                              <w:tab/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11.6pt;width:546.8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" strokeweight="1.25pt">
                <v:textbox>
                  <w:txbxContent>
                    <w:p w:rsidR="008000C4" w:rsidRDefault="006053AC">
                      <w:r>
                        <w:t>Rate</w:t>
                      </w:r>
                      <w:r>
                        <w:tab/>
                      </w:r>
                      <w:r>
                        <w:tab/>
                      </w:r>
                      <w:r w:rsidR="00F2063E">
                        <w:tab/>
                      </w:r>
                      <w:r w:rsidR="002163CA">
                        <w:tab/>
                      </w:r>
                      <w:r>
                        <w:t>Selling Price</w:t>
                      </w:r>
                      <w:r>
                        <w:tab/>
                      </w:r>
                      <w:r>
                        <w:tab/>
                        <w:t>Unit Rate</w:t>
                      </w:r>
                      <w:r>
                        <w:tab/>
                      </w:r>
                      <w:r>
                        <w:tab/>
                      </w:r>
                      <w:r w:rsidR="00416C7D">
                        <w:t>Interest</w:t>
                      </w:r>
                      <w:r w:rsidR="008000C4">
                        <w:tab/>
                      </w:r>
                      <w:r w:rsidR="00BB7738">
                        <w:tab/>
                      </w:r>
                      <w:r w:rsidR="00BB7738">
                        <w:tab/>
                      </w:r>
                      <w:r w:rsidR="008000C4">
                        <w:t>Tip</w:t>
                      </w:r>
                    </w:p>
                    <w:p w:rsidR="006053AC" w:rsidRDefault="00F2063E">
                      <w:r>
                        <w:t>Discount</w:t>
                      </w:r>
                      <w:r>
                        <w:tab/>
                      </w:r>
                      <w:r>
                        <w:tab/>
                      </w:r>
                      <w:r w:rsidR="002163CA">
                        <w:tab/>
                      </w:r>
                      <w:r w:rsidR="008000C4">
                        <w:t>Percent of Increase</w:t>
                      </w:r>
                      <w:r w:rsidR="008000C4">
                        <w:tab/>
                      </w:r>
                      <w:r>
                        <w:t>Tax Rate</w:t>
                      </w:r>
                      <w:r>
                        <w:tab/>
                      </w:r>
                      <w:r>
                        <w:tab/>
                        <w:t>Proportion</w:t>
                      </w:r>
                      <w:r w:rsidR="008000C4">
                        <w:tab/>
                      </w:r>
                      <w:r w:rsidR="008000C4">
                        <w:tab/>
                        <w:t>Tax</w:t>
                      </w:r>
                    </w:p>
                    <w:p w:rsidR="006053AC" w:rsidRDefault="00F2063E">
                      <w:r>
                        <w:t>Discount Rate</w:t>
                      </w:r>
                      <w:r>
                        <w:tab/>
                      </w:r>
                      <w:r>
                        <w:tab/>
                      </w:r>
                      <w:r w:rsidR="002163CA">
                        <w:tab/>
                      </w:r>
                      <w:r>
                        <w:t>Percent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Mark Up</w:t>
                      </w:r>
                      <w:r>
                        <w:tab/>
                      </w:r>
                      <w:r>
                        <w:tab/>
                        <w:t>Discount Price</w:t>
                      </w:r>
                      <w:r>
                        <w:tab/>
                      </w:r>
                      <w:r w:rsidR="008000C4">
                        <w:tab/>
                        <w:t>Ratio</w:t>
                      </w:r>
                    </w:p>
                    <w:p w:rsidR="006053AC" w:rsidRDefault="008000C4">
                      <w:r>
                        <w:t>Percent of Decrease</w:t>
                      </w:r>
                      <w:r w:rsidR="00F2063E">
                        <w:tab/>
                      </w:r>
                      <w:r w:rsidR="00F2063E">
                        <w:tab/>
                        <w:t>Principle</w:t>
                      </w:r>
                      <w:r w:rsidR="00F2063E">
                        <w:tab/>
                      </w:r>
                      <w:r w:rsidR="00F2063E">
                        <w:tab/>
                        <w:t>Percent of Change</w:t>
                      </w:r>
                      <w:r w:rsidR="00F2063E">
                        <w:tab/>
                      </w:r>
                      <w:r w:rsidR="00416C7D">
                        <w:t>Interest Rate</w:t>
                      </w:r>
                      <w:r>
                        <w:tab/>
                      </w:r>
                      <w:r>
                        <w:tab/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</w:p>
    <w:p w:rsidR="006053AC" w:rsidRDefault="006053AC">
      <w:pPr>
        <w:rPr>
          <w:b/>
          <w:i/>
        </w:rPr>
      </w:pPr>
    </w:p>
    <w:p w:rsidR="0010554A" w:rsidRDefault="0010554A">
      <w:pPr>
        <w:rPr>
          <w:b/>
          <w:i/>
        </w:rPr>
      </w:pPr>
    </w:p>
    <w:p w:rsidR="006053AC" w:rsidRDefault="006053AC">
      <w:pPr>
        <w:rPr>
          <w:b/>
          <w:i/>
        </w:rPr>
      </w:pPr>
    </w:p>
    <w:p w:rsidR="006053AC" w:rsidRDefault="006053AC">
      <w:pPr>
        <w:rPr>
          <w:b/>
          <w:i/>
        </w:rPr>
      </w:pPr>
    </w:p>
    <w:p w:rsidR="006053AC" w:rsidRDefault="006053AC">
      <w:pPr>
        <w:rPr>
          <w:b/>
          <w:i/>
        </w:rPr>
      </w:pPr>
    </w:p>
    <w:p w:rsidR="006053AC" w:rsidRDefault="006053AC">
      <w:pPr>
        <w:rPr>
          <w:b/>
          <w:i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978"/>
        <w:gridCol w:w="7110"/>
      </w:tblGrid>
      <w:tr w:rsidR="00C83A51" w:rsidRPr="00C83A51" w:rsidTr="008000C4">
        <w:tc>
          <w:tcPr>
            <w:tcW w:w="3978" w:type="dxa"/>
          </w:tcPr>
          <w:p w:rsidR="00C83A51" w:rsidRPr="00C83A51" w:rsidRDefault="00C83A51" w:rsidP="00C83A51">
            <w:pPr>
              <w:jc w:val="center"/>
              <w:rPr>
                <w:b/>
                <w:i/>
              </w:rPr>
            </w:pPr>
            <w:r w:rsidRPr="00C83A51">
              <w:rPr>
                <w:b/>
                <w:i/>
              </w:rPr>
              <w:t>Vocabulary Word</w:t>
            </w:r>
          </w:p>
        </w:tc>
        <w:tc>
          <w:tcPr>
            <w:tcW w:w="7110" w:type="dxa"/>
          </w:tcPr>
          <w:p w:rsidR="00C83A51" w:rsidRPr="00C83A51" w:rsidRDefault="00C83A51" w:rsidP="00C83A51">
            <w:pPr>
              <w:jc w:val="center"/>
              <w:rPr>
                <w:b/>
                <w:i/>
              </w:rPr>
            </w:pPr>
            <w:r w:rsidRPr="00C83A51">
              <w:rPr>
                <w:b/>
                <w:i/>
              </w:rPr>
              <w:t>Definition</w:t>
            </w:r>
          </w:p>
        </w:tc>
      </w:tr>
      <w:tr w:rsidR="008000C4" w:rsidRPr="00C83A51" w:rsidTr="008000C4">
        <w:tc>
          <w:tcPr>
            <w:tcW w:w="3978" w:type="dxa"/>
          </w:tcPr>
          <w:p w:rsidR="008000C4" w:rsidRPr="00C83A51" w:rsidRDefault="008000C4" w:rsidP="00C83A51">
            <w:pPr>
              <w:jc w:val="center"/>
              <w:rPr>
                <w:b/>
                <w:i/>
              </w:rPr>
            </w:pPr>
          </w:p>
        </w:tc>
        <w:tc>
          <w:tcPr>
            <w:tcW w:w="7110" w:type="dxa"/>
          </w:tcPr>
          <w:p w:rsidR="008000C4" w:rsidRPr="008000C4" w:rsidRDefault="008000C4" w:rsidP="008000C4">
            <w:r>
              <w:t>A specific amount or number that represents how much of something you have.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416C7D" w:rsidP="00416C7D">
            <w:r>
              <w:t>An equation stating that two ratios are equal. Compares two or more quantities.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020EDC" w:rsidP="00F2063E">
            <w:r w:rsidRPr="00F2063E">
              <w:t>The percentage in which a regular price is reduced</w:t>
            </w:r>
            <w:r w:rsidR="00416C7D">
              <w:t>.</w:t>
            </w:r>
          </w:p>
        </w:tc>
      </w:tr>
      <w:tr w:rsidR="00C83A51" w:rsidTr="008000C4">
        <w:tc>
          <w:tcPr>
            <w:tcW w:w="3978" w:type="dxa"/>
          </w:tcPr>
          <w:p w:rsidR="00C83A51" w:rsidRPr="00020EDC" w:rsidRDefault="00C83A51" w:rsidP="00C83A51"/>
        </w:tc>
        <w:tc>
          <w:tcPr>
            <w:tcW w:w="7110" w:type="dxa"/>
            <w:vAlign w:val="center"/>
          </w:tcPr>
          <w:p w:rsidR="00F2063E" w:rsidRPr="00F2063E" w:rsidRDefault="006053AC" w:rsidP="00416C7D">
            <w:r w:rsidRPr="00F2063E">
              <w:t xml:space="preserve">The amount </w:t>
            </w:r>
            <w:r w:rsidR="00416C7D">
              <w:t>of money an item is increased above the original price.</w:t>
            </w:r>
          </w:p>
        </w:tc>
      </w:tr>
      <w:tr w:rsidR="00C83A51" w:rsidTr="008000C4">
        <w:tc>
          <w:tcPr>
            <w:tcW w:w="3978" w:type="dxa"/>
          </w:tcPr>
          <w:p w:rsidR="00C83A51" w:rsidRPr="00020EDC" w:rsidRDefault="00C83A51" w:rsidP="00C83A51"/>
        </w:tc>
        <w:tc>
          <w:tcPr>
            <w:tcW w:w="7110" w:type="dxa"/>
            <w:vAlign w:val="center"/>
          </w:tcPr>
          <w:p w:rsidR="00F2063E" w:rsidRPr="00F2063E" w:rsidRDefault="00416C7D" w:rsidP="00F2063E">
            <w:r>
              <w:t>The price of an item after the discount has been taken out,</w:t>
            </w:r>
            <w:r w:rsidR="00020EDC" w:rsidRPr="00F2063E">
              <w:t xml:space="preserve"> also called </w:t>
            </w:r>
            <w:r>
              <w:t xml:space="preserve">the </w:t>
            </w:r>
            <w:r w:rsidR="00020EDC" w:rsidRPr="00F2063E">
              <w:t>“sale price”</w:t>
            </w:r>
            <w:r>
              <w:t>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6053AC" w:rsidP="00416C7D">
            <w:r w:rsidRPr="00F2063E">
              <w:t xml:space="preserve">The amount of money paid or earned </w:t>
            </w:r>
            <w:r w:rsidR="00416C7D">
              <w:t>in addition to the money borrowed or saved.</w:t>
            </w:r>
          </w:p>
        </w:tc>
      </w:tr>
      <w:tr w:rsidR="006053AC" w:rsidTr="008000C4">
        <w:tc>
          <w:tcPr>
            <w:tcW w:w="3978" w:type="dxa"/>
          </w:tcPr>
          <w:p w:rsidR="006053AC" w:rsidRPr="00020EDC" w:rsidRDefault="006053AC" w:rsidP="00C83A51"/>
        </w:tc>
        <w:tc>
          <w:tcPr>
            <w:tcW w:w="7110" w:type="dxa"/>
            <w:vAlign w:val="center"/>
          </w:tcPr>
          <w:p w:rsidR="00F2063E" w:rsidRPr="00F2063E" w:rsidRDefault="006053AC" w:rsidP="00F2063E">
            <w:r w:rsidRPr="00F2063E">
              <w:t xml:space="preserve">The percent of change when the new amount is greater than the </w:t>
            </w:r>
            <w:r w:rsidR="00F2063E">
              <w:t>original</w:t>
            </w:r>
            <w:r w:rsidR="00B02F24">
              <w:t>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6053AC" w:rsidP="00F2063E">
            <w:r w:rsidRPr="00F2063E">
              <w:t>A ratio that compares a number to 100</w:t>
            </w:r>
            <w:r w:rsidR="00B02F24">
              <w:t>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90629A" w:rsidRDefault="00020EDC" w:rsidP="00575567">
            <w:pPr>
              <w:rPr>
                <w:b/>
              </w:rPr>
            </w:pPr>
            <w:r w:rsidRPr="00575567">
              <w:t xml:space="preserve">A ratio that </w:t>
            </w:r>
            <w:r w:rsidR="00575567">
              <w:t>can be</w:t>
            </w:r>
            <w:r w:rsidR="0090629A" w:rsidRPr="00575567">
              <w:t xml:space="preserve"> </w:t>
            </w:r>
            <w:r w:rsidR="00BB7738" w:rsidRPr="00575567">
              <w:t>commonly given as a percentage</w:t>
            </w:r>
            <w:r w:rsidR="00B02F24" w:rsidRPr="00575567">
              <w:t>.</w:t>
            </w:r>
            <w:r w:rsidR="00B02F24" w:rsidRPr="0090629A">
              <w:rPr>
                <w:b/>
              </w:rPr>
              <w:t xml:space="preserve"> </w:t>
            </w:r>
            <w:r w:rsidR="00575567" w:rsidRPr="00575567">
              <w:rPr>
                <w:rStyle w:val="ssens"/>
                <w:rFonts w:cs="Times New Roman"/>
                <w:szCs w:val="24"/>
              </w:rPr>
              <w:t>Gives the amount of payment or charge based on another amount.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6053AC" w:rsidP="00F2063E">
            <w:r w:rsidRPr="00F2063E">
              <w:t xml:space="preserve">The amount of money </w:t>
            </w:r>
            <w:r w:rsidR="00B02F24">
              <w:t xml:space="preserve">originally </w:t>
            </w:r>
            <w:r w:rsidRPr="00F2063E">
              <w:t>invested or borrowed</w:t>
            </w:r>
            <w:r w:rsidR="00B02F24">
              <w:t>.</w:t>
            </w:r>
          </w:p>
        </w:tc>
      </w:tr>
      <w:tr w:rsidR="00C83A51" w:rsidTr="008000C4">
        <w:tc>
          <w:tcPr>
            <w:tcW w:w="3978" w:type="dxa"/>
          </w:tcPr>
          <w:p w:rsidR="00C83A51" w:rsidRPr="00020EDC" w:rsidRDefault="00C83A51" w:rsidP="00C83A51"/>
        </w:tc>
        <w:tc>
          <w:tcPr>
            <w:tcW w:w="7110" w:type="dxa"/>
            <w:vAlign w:val="center"/>
          </w:tcPr>
          <w:p w:rsidR="00F2063E" w:rsidRPr="00F2063E" w:rsidRDefault="00020EDC" w:rsidP="00F2063E">
            <w:r w:rsidRPr="00F2063E">
              <w:t>A percent added to items purchased enforced by the government</w:t>
            </w:r>
            <w:r w:rsidR="00B02F24">
              <w:t>. Virginia’s is 5% on purchased items.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6053AC" w:rsidP="00F2063E">
            <w:r w:rsidRPr="00F2063E">
              <w:t>The amount the customer pays for an item</w:t>
            </w:r>
            <w:r w:rsidR="00B02F24">
              <w:t>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020EDC" w:rsidP="00B02F24">
            <w:r w:rsidRPr="00F2063E">
              <w:t xml:space="preserve">The amount </w:t>
            </w:r>
            <w:r w:rsidR="00B02F24">
              <w:t>of money that is subtracted from the original price.</w:t>
            </w:r>
          </w:p>
        </w:tc>
      </w:tr>
      <w:tr w:rsidR="00C83A51" w:rsidTr="008000C4">
        <w:tc>
          <w:tcPr>
            <w:tcW w:w="3978" w:type="dxa"/>
          </w:tcPr>
          <w:p w:rsidR="00C83A51" w:rsidRPr="00020EDC" w:rsidRDefault="00C83A51" w:rsidP="00C83A51"/>
        </w:tc>
        <w:tc>
          <w:tcPr>
            <w:tcW w:w="7110" w:type="dxa"/>
            <w:vAlign w:val="center"/>
          </w:tcPr>
          <w:p w:rsidR="00F2063E" w:rsidRPr="00F2063E" w:rsidRDefault="006053AC" w:rsidP="00F2063E">
            <w:r w:rsidRPr="00F2063E">
              <w:t>A ratio that compares the change in a quantity to the original amount</w:t>
            </w:r>
            <w:r w:rsidR="00B02F24">
              <w:t>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020EDC" w:rsidP="00F2063E">
            <w:r w:rsidRPr="00F2063E">
              <w:t>The amount of money adde</w:t>
            </w:r>
            <w:r w:rsidR="00B02F24">
              <w:t>d to purchased items.</w:t>
            </w:r>
          </w:p>
        </w:tc>
      </w:tr>
      <w:tr w:rsidR="00C83A51" w:rsidTr="008000C4">
        <w:tc>
          <w:tcPr>
            <w:tcW w:w="3978" w:type="dxa"/>
          </w:tcPr>
          <w:p w:rsidR="00C83A51" w:rsidRDefault="00C83A51" w:rsidP="00C83A51"/>
          <w:p w:rsidR="002163CA" w:rsidRPr="00020EDC" w:rsidRDefault="002163CA" w:rsidP="00C83A51"/>
        </w:tc>
        <w:tc>
          <w:tcPr>
            <w:tcW w:w="7110" w:type="dxa"/>
            <w:vAlign w:val="center"/>
          </w:tcPr>
          <w:p w:rsidR="00F2063E" w:rsidRPr="00F2063E" w:rsidRDefault="00020EDC" w:rsidP="00F2063E">
            <w:r w:rsidRPr="00F2063E">
              <w:t>A rate with a denominator of one (1)</w:t>
            </w:r>
          </w:p>
        </w:tc>
      </w:tr>
      <w:tr w:rsidR="00C83A51" w:rsidTr="00281BDC">
        <w:trPr>
          <w:trHeight w:val="422"/>
        </w:trPr>
        <w:tc>
          <w:tcPr>
            <w:tcW w:w="3978" w:type="dxa"/>
          </w:tcPr>
          <w:p w:rsidR="002163CA" w:rsidRDefault="002163CA" w:rsidP="00C83A51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7110" w:type="dxa"/>
            <w:vAlign w:val="center"/>
          </w:tcPr>
          <w:p w:rsidR="00F2063E" w:rsidRPr="00F2063E" w:rsidRDefault="006053AC" w:rsidP="00F2063E">
            <w:r w:rsidRPr="00F2063E">
              <w:t>The amount of money paid for a service</w:t>
            </w:r>
            <w:r w:rsidR="00B02F24">
              <w:t xml:space="preserve">, also called “gratuity”. </w:t>
            </w:r>
          </w:p>
        </w:tc>
      </w:tr>
      <w:tr w:rsidR="006053AC" w:rsidTr="008000C4">
        <w:tc>
          <w:tcPr>
            <w:tcW w:w="3978" w:type="dxa"/>
          </w:tcPr>
          <w:p w:rsidR="006053AC" w:rsidRDefault="006053AC" w:rsidP="00C83A51">
            <w:pPr>
              <w:rPr>
                <w:i/>
              </w:rPr>
            </w:pPr>
          </w:p>
        </w:tc>
        <w:tc>
          <w:tcPr>
            <w:tcW w:w="7110" w:type="dxa"/>
            <w:vAlign w:val="center"/>
          </w:tcPr>
          <w:p w:rsidR="00F2063E" w:rsidRPr="00F2063E" w:rsidRDefault="006053AC" w:rsidP="00F2063E">
            <w:r w:rsidRPr="00F2063E">
              <w:t>The percent of change when the new amount is less than the original</w:t>
            </w:r>
          </w:p>
        </w:tc>
      </w:tr>
      <w:tr w:rsidR="008000C4" w:rsidTr="00281BDC">
        <w:trPr>
          <w:trHeight w:val="458"/>
        </w:trPr>
        <w:tc>
          <w:tcPr>
            <w:tcW w:w="3978" w:type="dxa"/>
          </w:tcPr>
          <w:p w:rsidR="008000C4" w:rsidRDefault="008000C4" w:rsidP="00C83A51">
            <w:pPr>
              <w:rPr>
                <w:i/>
              </w:rPr>
            </w:pPr>
          </w:p>
        </w:tc>
        <w:tc>
          <w:tcPr>
            <w:tcW w:w="7110" w:type="dxa"/>
            <w:vAlign w:val="center"/>
          </w:tcPr>
          <w:p w:rsidR="008000C4" w:rsidRPr="00F2063E" w:rsidRDefault="008000C4" w:rsidP="00F2063E">
            <w:r>
              <w:t xml:space="preserve">A way of comparing two quantities. Can be written as </w:t>
            </w:r>
            <w:r w:rsidRPr="008000C4">
              <w:rPr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25pt;height:31.25pt" o:ole="">
                  <v:imagedata r:id="rId8" o:title=""/>
                </v:shape>
                <o:OLEObject Type="Embed" ProgID="Equation.DSMT4" ShapeID="_x0000_i1025" DrawAspect="Content" ObjectID="_1434800808" r:id="rId9"/>
              </w:object>
            </w:r>
            <w:r>
              <w:t xml:space="preserve">, </w:t>
            </w:r>
            <w:r w:rsidRPr="008000C4">
              <w:rPr>
                <w:i/>
              </w:rPr>
              <w:t>a</w:t>
            </w:r>
            <w:r>
              <w:t>:</w:t>
            </w:r>
            <w:r w:rsidRPr="008000C4">
              <w:rPr>
                <w:i/>
              </w:rPr>
              <w:t>b</w:t>
            </w:r>
            <w:r>
              <w:t xml:space="preserve"> or </w:t>
            </w:r>
            <w:r w:rsidRPr="008000C4">
              <w:rPr>
                <w:i/>
              </w:rPr>
              <w:t>a</w:t>
            </w:r>
            <w:r>
              <w:t xml:space="preserve"> to </w:t>
            </w:r>
            <w:r w:rsidRPr="008000C4">
              <w:rPr>
                <w:i/>
              </w:rPr>
              <w:t>b</w:t>
            </w:r>
            <w:r>
              <w:t>.</w:t>
            </w:r>
          </w:p>
        </w:tc>
      </w:tr>
      <w:tr w:rsidR="008000C4" w:rsidTr="008000C4">
        <w:tc>
          <w:tcPr>
            <w:tcW w:w="3978" w:type="dxa"/>
          </w:tcPr>
          <w:p w:rsidR="008000C4" w:rsidRDefault="008000C4" w:rsidP="00C83A51">
            <w:pPr>
              <w:rPr>
                <w:i/>
              </w:rPr>
            </w:pPr>
          </w:p>
        </w:tc>
        <w:tc>
          <w:tcPr>
            <w:tcW w:w="7110" w:type="dxa"/>
            <w:vAlign w:val="center"/>
          </w:tcPr>
          <w:p w:rsidR="008000C4" w:rsidRPr="00F2063E" w:rsidRDefault="008000C4" w:rsidP="00F2063E">
            <w:r>
              <w:t>A percentage of the money invested or borrowed that you must pay back or that you have earned.</w:t>
            </w:r>
          </w:p>
        </w:tc>
      </w:tr>
    </w:tbl>
    <w:p w:rsidR="00C83A51" w:rsidRPr="00C83A51" w:rsidRDefault="00C83A51" w:rsidP="00281BDC">
      <w:pPr>
        <w:rPr>
          <w:i/>
        </w:rPr>
      </w:pPr>
    </w:p>
    <w:sectPr w:rsidR="00C83A51" w:rsidRPr="00C83A51" w:rsidSect="00281BDC">
      <w:headerReference w:type="default" r:id="rId10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22" w:rsidRDefault="00F71C22" w:rsidP="00AC56A6">
      <w:r>
        <w:separator/>
      </w:r>
    </w:p>
  </w:endnote>
  <w:endnote w:type="continuationSeparator" w:id="0">
    <w:p w:rsidR="00F71C22" w:rsidRDefault="00F71C22" w:rsidP="00AC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22" w:rsidRDefault="00F71C22" w:rsidP="00AC56A6">
      <w:r>
        <w:separator/>
      </w:r>
    </w:p>
  </w:footnote>
  <w:footnote w:type="continuationSeparator" w:id="0">
    <w:p w:rsidR="00F71C22" w:rsidRDefault="00F71C22" w:rsidP="00AC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A6" w:rsidRDefault="00AC56A6">
    <w:pPr>
      <w:pStyle w:val="Header"/>
    </w:pPr>
    <w:r>
      <w:rPr>
        <w:noProof/>
      </w:rPr>
      <w:t>Name:  _______________________________ Date:  ________________________ Pd: 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F51"/>
    <w:multiLevelType w:val="hybridMultilevel"/>
    <w:tmpl w:val="1C0A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38D2"/>
    <w:multiLevelType w:val="hybridMultilevel"/>
    <w:tmpl w:val="3370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D1C46"/>
    <w:multiLevelType w:val="hybridMultilevel"/>
    <w:tmpl w:val="AF00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A6"/>
    <w:rsid w:val="0000155A"/>
    <w:rsid w:val="0000430B"/>
    <w:rsid w:val="00004866"/>
    <w:rsid w:val="0000560A"/>
    <w:rsid w:val="00005B33"/>
    <w:rsid w:val="000071C0"/>
    <w:rsid w:val="00007BC9"/>
    <w:rsid w:val="0001024D"/>
    <w:rsid w:val="000112BF"/>
    <w:rsid w:val="00012762"/>
    <w:rsid w:val="000139FB"/>
    <w:rsid w:val="000150D7"/>
    <w:rsid w:val="00015DCE"/>
    <w:rsid w:val="000206C6"/>
    <w:rsid w:val="00020EDC"/>
    <w:rsid w:val="00021B25"/>
    <w:rsid w:val="000250AA"/>
    <w:rsid w:val="0002796F"/>
    <w:rsid w:val="00027F59"/>
    <w:rsid w:val="000309BE"/>
    <w:rsid w:val="00031331"/>
    <w:rsid w:val="00033D31"/>
    <w:rsid w:val="0003451F"/>
    <w:rsid w:val="00036675"/>
    <w:rsid w:val="00037EBB"/>
    <w:rsid w:val="00041577"/>
    <w:rsid w:val="000436DD"/>
    <w:rsid w:val="00046520"/>
    <w:rsid w:val="00053469"/>
    <w:rsid w:val="000578FD"/>
    <w:rsid w:val="00057D87"/>
    <w:rsid w:val="00060A60"/>
    <w:rsid w:val="0006347E"/>
    <w:rsid w:val="000651BF"/>
    <w:rsid w:val="0006544B"/>
    <w:rsid w:val="00066237"/>
    <w:rsid w:val="00067A36"/>
    <w:rsid w:val="00072E8C"/>
    <w:rsid w:val="000774BF"/>
    <w:rsid w:val="00080E28"/>
    <w:rsid w:val="00081D90"/>
    <w:rsid w:val="0008205B"/>
    <w:rsid w:val="00085130"/>
    <w:rsid w:val="000853E6"/>
    <w:rsid w:val="000911E0"/>
    <w:rsid w:val="00091A63"/>
    <w:rsid w:val="00093502"/>
    <w:rsid w:val="00097C45"/>
    <w:rsid w:val="000A07D1"/>
    <w:rsid w:val="000A2E1D"/>
    <w:rsid w:val="000A311E"/>
    <w:rsid w:val="000B7508"/>
    <w:rsid w:val="000B7FD4"/>
    <w:rsid w:val="000C13CD"/>
    <w:rsid w:val="000C158C"/>
    <w:rsid w:val="000C32AE"/>
    <w:rsid w:val="000C525A"/>
    <w:rsid w:val="000C6993"/>
    <w:rsid w:val="000D09B2"/>
    <w:rsid w:val="000D414A"/>
    <w:rsid w:val="000E0089"/>
    <w:rsid w:val="000E08F8"/>
    <w:rsid w:val="000E3AC4"/>
    <w:rsid w:val="000E3B34"/>
    <w:rsid w:val="000E45D3"/>
    <w:rsid w:val="000E4CC2"/>
    <w:rsid w:val="000F1D79"/>
    <w:rsid w:val="000F239C"/>
    <w:rsid w:val="000F4CA9"/>
    <w:rsid w:val="000F6393"/>
    <w:rsid w:val="001027E2"/>
    <w:rsid w:val="00102D87"/>
    <w:rsid w:val="00102DC5"/>
    <w:rsid w:val="00104386"/>
    <w:rsid w:val="0010554A"/>
    <w:rsid w:val="001203CB"/>
    <w:rsid w:val="0012199D"/>
    <w:rsid w:val="00124D86"/>
    <w:rsid w:val="00125327"/>
    <w:rsid w:val="00130C55"/>
    <w:rsid w:val="00132538"/>
    <w:rsid w:val="00132EBE"/>
    <w:rsid w:val="00140646"/>
    <w:rsid w:val="0014281B"/>
    <w:rsid w:val="001441EF"/>
    <w:rsid w:val="00145D2D"/>
    <w:rsid w:val="00147F71"/>
    <w:rsid w:val="00150DD1"/>
    <w:rsid w:val="00152F35"/>
    <w:rsid w:val="0015306F"/>
    <w:rsid w:val="00155058"/>
    <w:rsid w:val="00163929"/>
    <w:rsid w:val="001642A8"/>
    <w:rsid w:val="00166259"/>
    <w:rsid w:val="001711BD"/>
    <w:rsid w:val="001722DC"/>
    <w:rsid w:val="00174108"/>
    <w:rsid w:val="00175D8F"/>
    <w:rsid w:val="0017632E"/>
    <w:rsid w:val="00181257"/>
    <w:rsid w:val="00182319"/>
    <w:rsid w:val="0018665C"/>
    <w:rsid w:val="0019148D"/>
    <w:rsid w:val="001A2811"/>
    <w:rsid w:val="001A54A1"/>
    <w:rsid w:val="001A5FC1"/>
    <w:rsid w:val="001B0B7F"/>
    <w:rsid w:val="001B0C60"/>
    <w:rsid w:val="001B1F72"/>
    <w:rsid w:val="001B39C6"/>
    <w:rsid w:val="001B3AB7"/>
    <w:rsid w:val="001C379E"/>
    <w:rsid w:val="001C6511"/>
    <w:rsid w:val="001C7057"/>
    <w:rsid w:val="001D045E"/>
    <w:rsid w:val="001E151A"/>
    <w:rsid w:val="001E24CB"/>
    <w:rsid w:val="001E3F47"/>
    <w:rsid w:val="001E7C75"/>
    <w:rsid w:val="001F147E"/>
    <w:rsid w:val="001F1F29"/>
    <w:rsid w:val="001F1FED"/>
    <w:rsid w:val="00201128"/>
    <w:rsid w:val="0020132A"/>
    <w:rsid w:val="00202730"/>
    <w:rsid w:val="00204727"/>
    <w:rsid w:val="0020694E"/>
    <w:rsid w:val="0020789B"/>
    <w:rsid w:val="00207B94"/>
    <w:rsid w:val="00210691"/>
    <w:rsid w:val="0021364A"/>
    <w:rsid w:val="002146A0"/>
    <w:rsid w:val="002163CA"/>
    <w:rsid w:val="002235D6"/>
    <w:rsid w:val="002240F3"/>
    <w:rsid w:val="00231C54"/>
    <w:rsid w:val="00235E3E"/>
    <w:rsid w:val="00241E06"/>
    <w:rsid w:val="00242825"/>
    <w:rsid w:val="002447C5"/>
    <w:rsid w:val="002479E0"/>
    <w:rsid w:val="00250FF1"/>
    <w:rsid w:val="0025475F"/>
    <w:rsid w:val="0025776F"/>
    <w:rsid w:val="0026625E"/>
    <w:rsid w:val="00274A66"/>
    <w:rsid w:val="00280F73"/>
    <w:rsid w:val="00281BCD"/>
    <w:rsid w:val="00281BDC"/>
    <w:rsid w:val="00283B40"/>
    <w:rsid w:val="00286A19"/>
    <w:rsid w:val="002930CF"/>
    <w:rsid w:val="00293506"/>
    <w:rsid w:val="00296067"/>
    <w:rsid w:val="00297C5A"/>
    <w:rsid w:val="002A3076"/>
    <w:rsid w:val="002A36DD"/>
    <w:rsid w:val="002A6485"/>
    <w:rsid w:val="002A6537"/>
    <w:rsid w:val="002A663F"/>
    <w:rsid w:val="002A69CF"/>
    <w:rsid w:val="002B1831"/>
    <w:rsid w:val="002B5C01"/>
    <w:rsid w:val="002B77B0"/>
    <w:rsid w:val="002D2BF7"/>
    <w:rsid w:val="002D3282"/>
    <w:rsid w:val="002D5BA1"/>
    <w:rsid w:val="002D639B"/>
    <w:rsid w:val="002D7F7E"/>
    <w:rsid w:val="002E37E5"/>
    <w:rsid w:val="002E5D98"/>
    <w:rsid w:val="002E6ED5"/>
    <w:rsid w:val="002E75E1"/>
    <w:rsid w:val="002F04E3"/>
    <w:rsid w:val="002F11E8"/>
    <w:rsid w:val="002F1F75"/>
    <w:rsid w:val="002F21E6"/>
    <w:rsid w:val="002F2E93"/>
    <w:rsid w:val="00300242"/>
    <w:rsid w:val="00302842"/>
    <w:rsid w:val="00307A5A"/>
    <w:rsid w:val="00307BE7"/>
    <w:rsid w:val="0031461A"/>
    <w:rsid w:val="00314C52"/>
    <w:rsid w:val="0032155C"/>
    <w:rsid w:val="00330534"/>
    <w:rsid w:val="003334BF"/>
    <w:rsid w:val="00334954"/>
    <w:rsid w:val="003429F0"/>
    <w:rsid w:val="00343367"/>
    <w:rsid w:val="00344F89"/>
    <w:rsid w:val="00345270"/>
    <w:rsid w:val="00346CC4"/>
    <w:rsid w:val="0035072E"/>
    <w:rsid w:val="00352806"/>
    <w:rsid w:val="00354210"/>
    <w:rsid w:val="003568AE"/>
    <w:rsid w:val="003604C4"/>
    <w:rsid w:val="003615D7"/>
    <w:rsid w:val="00362277"/>
    <w:rsid w:val="003633C9"/>
    <w:rsid w:val="00364C48"/>
    <w:rsid w:val="00366BB2"/>
    <w:rsid w:val="003710F8"/>
    <w:rsid w:val="00371DAE"/>
    <w:rsid w:val="0037457E"/>
    <w:rsid w:val="00383212"/>
    <w:rsid w:val="003845CF"/>
    <w:rsid w:val="00386795"/>
    <w:rsid w:val="00386AE4"/>
    <w:rsid w:val="003916C2"/>
    <w:rsid w:val="00393412"/>
    <w:rsid w:val="00397FD6"/>
    <w:rsid w:val="003B746B"/>
    <w:rsid w:val="003C1FEA"/>
    <w:rsid w:val="003C508E"/>
    <w:rsid w:val="003C5B1F"/>
    <w:rsid w:val="003C605C"/>
    <w:rsid w:val="003D3A60"/>
    <w:rsid w:val="003D619F"/>
    <w:rsid w:val="003E1E38"/>
    <w:rsid w:val="003E23F1"/>
    <w:rsid w:val="003E3F8C"/>
    <w:rsid w:val="003E6D9E"/>
    <w:rsid w:val="003E78D8"/>
    <w:rsid w:val="003F05DF"/>
    <w:rsid w:val="003F1140"/>
    <w:rsid w:val="003F2962"/>
    <w:rsid w:val="003F584E"/>
    <w:rsid w:val="003F7FD3"/>
    <w:rsid w:val="00403124"/>
    <w:rsid w:val="00403F29"/>
    <w:rsid w:val="00410005"/>
    <w:rsid w:val="00412486"/>
    <w:rsid w:val="00416504"/>
    <w:rsid w:val="00416B7E"/>
    <w:rsid w:val="00416BC2"/>
    <w:rsid w:val="00416C7D"/>
    <w:rsid w:val="00421C43"/>
    <w:rsid w:val="004362C6"/>
    <w:rsid w:val="00444441"/>
    <w:rsid w:val="0044634E"/>
    <w:rsid w:val="00446FC6"/>
    <w:rsid w:val="00447045"/>
    <w:rsid w:val="00453704"/>
    <w:rsid w:val="00455AC3"/>
    <w:rsid w:val="004613E3"/>
    <w:rsid w:val="004631F0"/>
    <w:rsid w:val="00466762"/>
    <w:rsid w:val="00471E90"/>
    <w:rsid w:val="00472C4E"/>
    <w:rsid w:val="00473EF4"/>
    <w:rsid w:val="004745F4"/>
    <w:rsid w:val="00475C83"/>
    <w:rsid w:val="00477521"/>
    <w:rsid w:val="00480A14"/>
    <w:rsid w:val="00487174"/>
    <w:rsid w:val="004922DA"/>
    <w:rsid w:val="00494ABC"/>
    <w:rsid w:val="0049528E"/>
    <w:rsid w:val="004A0108"/>
    <w:rsid w:val="004A3D69"/>
    <w:rsid w:val="004A5E5C"/>
    <w:rsid w:val="004A7913"/>
    <w:rsid w:val="004B060E"/>
    <w:rsid w:val="004B46A9"/>
    <w:rsid w:val="004B5BE3"/>
    <w:rsid w:val="004C1ABE"/>
    <w:rsid w:val="004C1C63"/>
    <w:rsid w:val="004C254B"/>
    <w:rsid w:val="004C2F09"/>
    <w:rsid w:val="004C4A08"/>
    <w:rsid w:val="004C5AFE"/>
    <w:rsid w:val="004C6A09"/>
    <w:rsid w:val="004C7101"/>
    <w:rsid w:val="004D04FD"/>
    <w:rsid w:val="004D2C87"/>
    <w:rsid w:val="004E3E1A"/>
    <w:rsid w:val="004E4EB1"/>
    <w:rsid w:val="004E4FFC"/>
    <w:rsid w:val="004E60FE"/>
    <w:rsid w:val="004E677B"/>
    <w:rsid w:val="004F6B87"/>
    <w:rsid w:val="004F6EE8"/>
    <w:rsid w:val="0050084B"/>
    <w:rsid w:val="00502224"/>
    <w:rsid w:val="005034CB"/>
    <w:rsid w:val="00505E3B"/>
    <w:rsid w:val="00510F93"/>
    <w:rsid w:val="00521F55"/>
    <w:rsid w:val="005258D6"/>
    <w:rsid w:val="00526A50"/>
    <w:rsid w:val="005279FF"/>
    <w:rsid w:val="00534D23"/>
    <w:rsid w:val="00536603"/>
    <w:rsid w:val="0054053A"/>
    <w:rsid w:val="0054080D"/>
    <w:rsid w:val="00541CB3"/>
    <w:rsid w:val="00543E9D"/>
    <w:rsid w:val="005478C7"/>
    <w:rsid w:val="005525B4"/>
    <w:rsid w:val="00555C0F"/>
    <w:rsid w:val="0056712A"/>
    <w:rsid w:val="00572207"/>
    <w:rsid w:val="00572E82"/>
    <w:rsid w:val="00574AFE"/>
    <w:rsid w:val="00575567"/>
    <w:rsid w:val="00576EFC"/>
    <w:rsid w:val="00583727"/>
    <w:rsid w:val="00583951"/>
    <w:rsid w:val="00586A9F"/>
    <w:rsid w:val="00587752"/>
    <w:rsid w:val="005877E2"/>
    <w:rsid w:val="0059055D"/>
    <w:rsid w:val="00591A5A"/>
    <w:rsid w:val="00594D41"/>
    <w:rsid w:val="005A033B"/>
    <w:rsid w:val="005A1922"/>
    <w:rsid w:val="005A6C18"/>
    <w:rsid w:val="005B2A1A"/>
    <w:rsid w:val="005B42F3"/>
    <w:rsid w:val="005C63F9"/>
    <w:rsid w:val="005C65BB"/>
    <w:rsid w:val="005D46EF"/>
    <w:rsid w:val="005D57E9"/>
    <w:rsid w:val="005D59A8"/>
    <w:rsid w:val="005D77C9"/>
    <w:rsid w:val="005E140A"/>
    <w:rsid w:val="005E6EE1"/>
    <w:rsid w:val="005E749E"/>
    <w:rsid w:val="005E786C"/>
    <w:rsid w:val="005E7F29"/>
    <w:rsid w:val="005F21BF"/>
    <w:rsid w:val="005F3F20"/>
    <w:rsid w:val="00601F9C"/>
    <w:rsid w:val="00602AC0"/>
    <w:rsid w:val="006053AC"/>
    <w:rsid w:val="006144EC"/>
    <w:rsid w:val="00617C16"/>
    <w:rsid w:val="00622043"/>
    <w:rsid w:val="00624A1D"/>
    <w:rsid w:val="00626414"/>
    <w:rsid w:val="00627D40"/>
    <w:rsid w:val="006317C0"/>
    <w:rsid w:val="00640925"/>
    <w:rsid w:val="0064094D"/>
    <w:rsid w:val="006519DA"/>
    <w:rsid w:val="00655194"/>
    <w:rsid w:val="00657518"/>
    <w:rsid w:val="006626AE"/>
    <w:rsid w:val="00664A15"/>
    <w:rsid w:val="00665B8B"/>
    <w:rsid w:val="00665F4F"/>
    <w:rsid w:val="00666E15"/>
    <w:rsid w:val="006677E6"/>
    <w:rsid w:val="00667C57"/>
    <w:rsid w:val="00671B34"/>
    <w:rsid w:val="00675F07"/>
    <w:rsid w:val="0067604A"/>
    <w:rsid w:val="0067629B"/>
    <w:rsid w:val="00682D4C"/>
    <w:rsid w:val="0068446C"/>
    <w:rsid w:val="00685E9D"/>
    <w:rsid w:val="00686223"/>
    <w:rsid w:val="0068677B"/>
    <w:rsid w:val="00687519"/>
    <w:rsid w:val="00687E5F"/>
    <w:rsid w:val="00694D0E"/>
    <w:rsid w:val="0069526A"/>
    <w:rsid w:val="00695868"/>
    <w:rsid w:val="006964C2"/>
    <w:rsid w:val="00697CD9"/>
    <w:rsid w:val="006A0D1F"/>
    <w:rsid w:val="006A78B0"/>
    <w:rsid w:val="006B3322"/>
    <w:rsid w:val="006B5B77"/>
    <w:rsid w:val="006B7398"/>
    <w:rsid w:val="006C50ED"/>
    <w:rsid w:val="006C72F1"/>
    <w:rsid w:val="006D3025"/>
    <w:rsid w:val="006D4E84"/>
    <w:rsid w:val="006D6907"/>
    <w:rsid w:val="006E33B2"/>
    <w:rsid w:val="006E4696"/>
    <w:rsid w:val="006E4BD2"/>
    <w:rsid w:val="006E511B"/>
    <w:rsid w:val="006E7568"/>
    <w:rsid w:val="006F213F"/>
    <w:rsid w:val="006F314B"/>
    <w:rsid w:val="006F3890"/>
    <w:rsid w:val="006F5A24"/>
    <w:rsid w:val="0070023D"/>
    <w:rsid w:val="00705078"/>
    <w:rsid w:val="00707581"/>
    <w:rsid w:val="00710965"/>
    <w:rsid w:val="00711060"/>
    <w:rsid w:val="00717098"/>
    <w:rsid w:val="00723C61"/>
    <w:rsid w:val="00724EBF"/>
    <w:rsid w:val="007255BA"/>
    <w:rsid w:val="0072573A"/>
    <w:rsid w:val="007329B5"/>
    <w:rsid w:val="00735482"/>
    <w:rsid w:val="00735AC7"/>
    <w:rsid w:val="0074177F"/>
    <w:rsid w:val="00746988"/>
    <w:rsid w:val="00755087"/>
    <w:rsid w:val="00761B2C"/>
    <w:rsid w:val="0076269A"/>
    <w:rsid w:val="00764064"/>
    <w:rsid w:val="007731D3"/>
    <w:rsid w:val="007745B8"/>
    <w:rsid w:val="00775040"/>
    <w:rsid w:val="007771BF"/>
    <w:rsid w:val="00777E99"/>
    <w:rsid w:val="00784B82"/>
    <w:rsid w:val="00787013"/>
    <w:rsid w:val="007879A3"/>
    <w:rsid w:val="007A3146"/>
    <w:rsid w:val="007A4DDA"/>
    <w:rsid w:val="007A5BE1"/>
    <w:rsid w:val="007A7788"/>
    <w:rsid w:val="007A7C18"/>
    <w:rsid w:val="007B61D1"/>
    <w:rsid w:val="007C0E35"/>
    <w:rsid w:val="007D4559"/>
    <w:rsid w:val="007E095E"/>
    <w:rsid w:val="007E1B96"/>
    <w:rsid w:val="007E7519"/>
    <w:rsid w:val="007E77C4"/>
    <w:rsid w:val="007E796B"/>
    <w:rsid w:val="007F009F"/>
    <w:rsid w:val="007F0D67"/>
    <w:rsid w:val="007F26C4"/>
    <w:rsid w:val="007F3788"/>
    <w:rsid w:val="007F42F0"/>
    <w:rsid w:val="007F51E4"/>
    <w:rsid w:val="007F57DD"/>
    <w:rsid w:val="007F68AA"/>
    <w:rsid w:val="007F698D"/>
    <w:rsid w:val="007F6B8B"/>
    <w:rsid w:val="007F6CC8"/>
    <w:rsid w:val="007F775C"/>
    <w:rsid w:val="007F7C43"/>
    <w:rsid w:val="008000C4"/>
    <w:rsid w:val="00801CB8"/>
    <w:rsid w:val="00803631"/>
    <w:rsid w:val="0080627D"/>
    <w:rsid w:val="00807EC6"/>
    <w:rsid w:val="008118C5"/>
    <w:rsid w:val="00813161"/>
    <w:rsid w:val="00814FE7"/>
    <w:rsid w:val="00815816"/>
    <w:rsid w:val="008162FA"/>
    <w:rsid w:val="008174AE"/>
    <w:rsid w:val="00821FDF"/>
    <w:rsid w:val="00822E35"/>
    <w:rsid w:val="00825EEE"/>
    <w:rsid w:val="00826140"/>
    <w:rsid w:val="00827748"/>
    <w:rsid w:val="008307A9"/>
    <w:rsid w:val="008309B9"/>
    <w:rsid w:val="008322B9"/>
    <w:rsid w:val="00834646"/>
    <w:rsid w:val="008410FB"/>
    <w:rsid w:val="00841CEB"/>
    <w:rsid w:val="00842539"/>
    <w:rsid w:val="00847E34"/>
    <w:rsid w:val="00850E9F"/>
    <w:rsid w:val="00853923"/>
    <w:rsid w:val="00863297"/>
    <w:rsid w:val="0086342A"/>
    <w:rsid w:val="00867EFE"/>
    <w:rsid w:val="00870271"/>
    <w:rsid w:val="0087071B"/>
    <w:rsid w:val="00875508"/>
    <w:rsid w:val="00880684"/>
    <w:rsid w:val="00883845"/>
    <w:rsid w:val="0088563F"/>
    <w:rsid w:val="00885D4C"/>
    <w:rsid w:val="00892617"/>
    <w:rsid w:val="00895AFB"/>
    <w:rsid w:val="00896E0D"/>
    <w:rsid w:val="008A0131"/>
    <w:rsid w:val="008A138C"/>
    <w:rsid w:val="008A31BF"/>
    <w:rsid w:val="008A4EE0"/>
    <w:rsid w:val="008B08F1"/>
    <w:rsid w:val="008B21CD"/>
    <w:rsid w:val="008B38BF"/>
    <w:rsid w:val="008B38FE"/>
    <w:rsid w:val="008B410F"/>
    <w:rsid w:val="008B5543"/>
    <w:rsid w:val="008B6843"/>
    <w:rsid w:val="008C4C52"/>
    <w:rsid w:val="008C5AB1"/>
    <w:rsid w:val="008C6CAA"/>
    <w:rsid w:val="008D07ED"/>
    <w:rsid w:val="008D1A9B"/>
    <w:rsid w:val="008D6E9F"/>
    <w:rsid w:val="008E5E0F"/>
    <w:rsid w:val="008E7CEE"/>
    <w:rsid w:val="008E7F21"/>
    <w:rsid w:val="008F02F8"/>
    <w:rsid w:val="008F6941"/>
    <w:rsid w:val="008F6D9F"/>
    <w:rsid w:val="008F6E10"/>
    <w:rsid w:val="009028FC"/>
    <w:rsid w:val="00904F44"/>
    <w:rsid w:val="0090629A"/>
    <w:rsid w:val="0091106A"/>
    <w:rsid w:val="009138E9"/>
    <w:rsid w:val="00913D71"/>
    <w:rsid w:val="00914854"/>
    <w:rsid w:val="00914DC5"/>
    <w:rsid w:val="00920DD4"/>
    <w:rsid w:val="00920E7B"/>
    <w:rsid w:val="0092177D"/>
    <w:rsid w:val="00924790"/>
    <w:rsid w:val="00927DBA"/>
    <w:rsid w:val="0093228E"/>
    <w:rsid w:val="009335DD"/>
    <w:rsid w:val="009409F1"/>
    <w:rsid w:val="00943B9B"/>
    <w:rsid w:val="00944BA7"/>
    <w:rsid w:val="00947E3F"/>
    <w:rsid w:val="0095692A"/>
    <w:rsid w:val="00957007"/>
    <w:rsid w:val="00957B05"/>
    <w:rsid w:val="00961306"/>
    <w:rsid w:val="009616CD"/>
    <w:rsid w:val="00962399"/>
    <w:rsid w:val="009623CE"/>
    <w:rsid w:val="00964B38"/>
    <w:rsid w:val="0096531A"/>
    <w:rsid w:val="00965E80"/>
    <w:rsid w:val="00966F37"/>
    <w:rsid w:val="00967134"/>
    <w:rsid w:val="00971478"/>
    <w:rsid w:val="00972183"/>
    <w:rsid w:val="009746FE"/>
    <w:rsid w:val="00974713"/>
    <w:rsid w:val="009749C3"/>
    <w:rsid w:val="00975255"/>
    <w:rsid w:val="0097569C"/>
    <w:rsid w:val="009814CA"/>
    <w:rsid w:val="009915EA"/>
    <w:rsid w:val="00992531"/>
    <w:rsid w:val="009929F3"/>
    <w:rsid w:val="0099582B"/>
    <w:rsid w:val="00996CE8"/>
    <w:rsid w:val="009A07A6"/>
    <w:rsid w:val="009A0AD8"/>
    <w:rsid w:val="009A3288"/>
    <w:rsid w:val="009B10D2"/>
    <w:rsid w:val="009B6081"/>
    <w:rsid w:val="009D3C0E"/>
    <w:rsid w:val="009D647C"/>
    <w:rsid w:val="009D76B8"/>
    <w:rsid w:val="009D7910"/>
    <w:rsid w:val="009E2C54"/>
    <w:rsid w:val="009E6741"/>
    <w:rsid w:val="009E6C80"/>
    <w:rsid w:val="009F0E3F"/>
    <w:rsid w:val="009F1E37"/>
    <w:rsid w:val="009F4E24"/>
    <w:rsid w:val="009F4F1C"/>
    <w:rsid w:val="00A03176"/>
    <w:rsid w:val="00A050FD"/>
    <w:rsid w:val="00A10476"/>
    <w:rsid w:val="00A10AFF"/>
    <w:rsid w:val="00A10EDA"/>
    <w:rsid w:val="00A13FB5"/>
    <w:rsid w:val="00A15772"/>
    <w:rsid w:val="00A22590"/>
    <w:rsid w:val="00A333A8"/>
    <w:rsid w:val="00A3542C"/>
    <w:rsid w:val="00A3678F"/>
    <w:rsid w:val="00A372DF"/>
    <w:rsid w:val="00A40AFD"/>
    <w:rsid w:val="00A414FF"/>
    <w:rsid w:val="00A4183C"/>
    <w:rsid w:val="00A418B7"/>
    <w:rsid w:val="00A46DA9"/>
    <w:rsid w:val="00A47E5E"/>
    <w:rsid w:val="00A52D54"/>
    <w:rsid w:val="00A52E3D"/>
    <w:rsid w:val="00A56204"/>
    <w:rsid w:val="00A57E05"/>
    <w:rsid w:val="00A63A85"/>
    <w:rsid w:val="00A67F85"/>
    <w:rsid w:val="00A724F7"/>
    <w:rsid w:val="00A735A3"/>
    <w:rsid w:val="00A73861"/>
    <w:rsid w:val="00A74223"/>
    <w:rsid w:val="00A74E6D"/>
    <w:rsid w:val="00A77E28"/>
    <w:rsid w:val="00A81348"/>
    <w:rsid w:val="00A82BCC"/>
    <w:rsid w:val="00A85F8B"/>
    <w:rsid w:val="00A90896"/>
    <w:rsid w:val="00A9231C"/>
    <w:rsid w:val="00A92EEF"/>
    <w:rsid w:val="00A9418A"/>
    <w:rsid w:val="00AA373A"/>
    <w:rsid w:val="00AA76F2"/>
    <w:rsid w:val="00AC0FDC"/>
    <w:rsid w:val="00AC3073"/>
    <w:rsid w:val="00AC312E"/>
    <w:rsid w:val="00AC451D"/>
    <w:rsid w:val="00AC56A6"/>
    <w:rsid w:val="00AC78A1"/>
    <w:rsid w:val="00AD2568"/>
    <w:rsid w:val="00AD2ABD"/>
    <w:rsid w:val="00AD5646"/>
    <w:rsid w:val="00AE491B"/>
    <w:rsid w:val="00AF12CF"/>
    <w:rsid w:val="00AF1E21"/>
    <w:rsid w:val="00AF238C"/>
    <w:rsid w:val="00AF4F69"/>
    <w:rsid w:val="00AF6663"/>
    <w:rsid w:val="00AF6805"/>
    <w:rsid w:val="00AF7A0F"/>
    <w:rsid w:val="00B0152C"/>
    <w:rsid w:val="00B02347"/>
    <w:rsid w:val="00B02F24"/>
    <w:rsid w:val="00B079F7"/>
    <w:rsid w:val="00B07A8D"/>
    <w:rsid w:val="00B1080A"/>
    <w:rsid w:val="00B10C7A"/>
    <w:rsid w:val="00B125CB"/>
    <w:rsid w:val="00B145E0"/>
    <w:rsid w:val="00B15214"/>
    <w:rsid w:val="00B1602E"/>
    <w:rsid w:val="00B174A1"/>
    <w:rsid w:val="00B174AC"/>
    <w:rsid w:val="00B20464"/>
    <w:rsid w:val="00B23E85"/>
    <w:rsid w:val="00B25096"/>
    <w:rsid w:val="00B2541D"/>
    <w:rsid w:val="00B2543C"/>
    <w:rsid w:val="00B25DF3"/>
    <w:rsid w:val="00B269FF"/>
    <w:rsid w:val="00B26DB7"/>
    <w:rsid w:val="00B337B8"/>
    <w:rsid w:val="00B340CF"/>
    <w:rsid w:val="00B37B9E"/>
    <w:rsid w:val="00B418D3"/>
    <w:rsid w:val="00B511E2"/>
    <w:rsid w:val="00B5306D"/>
    <w:rsid w:val="00B5324D"/>
    <w:rsid w:val="00B556A9"/>
    <w:rsid w:val="00B568CC"/>
    <w:rsid w:val="00B604BE"/>
    <w:rsid w:val="00B61132"/>
    <w:rsid w:val="00B63A05"/>
    <w:rsid w:val="00B6585E"/>
    <w:rsid w:val="00B661E0"/>
    <w:rsid w:val="00B71E73"/>
    <w:rsid w:val="00B74A6A"/>
    <w:rsid w:val="00B75B6F"/>
    <w:rsid w:val="00B83FA0"/>
    <w:rsid w:val="00B843E6"/>
    <w:rsid w:val="00B852EE"/>
    <w:rsid w:val="00B85319"/>
    <w:rsid w:val="00B86A49"/>
    <w:rsid w:val="00B916BC"/>
    <w:rsid w:val="00B92331"/>
    <w:rsid w:val="00B92AD5"/>
    <w:rsid w:val="00B947C0"/>
    <w:rsid w:val="00B94A65"/>
    <w:rsid w:val="00B95B2A"/>
    <w:rsid w:val="00B96D42"/>
    <w:rsid w:val="00BA2F06"/>
    <w:rsid w:val="00BA35DA"/>
    <w:rsid w:val="00BA589A"/>
    <w:rsid w:val="00BA5BF7"/>
    <w:rsid w:val="00BB42AF"/>
    <w:rsid w:val="00BB46D8"/>
    <w:rsid w:val="00BB6291"/>
    <w:rsid w:val="00BB7738"/>
    <w:rsid w:val="00BC60DE"/>
    <w:rsid w:val="00BD0E99"/>
    <w:rsid w:val="00BD0EC6"/>
    <w:rsid w:val="00BD1800"/>
    <w:rsid w:val="00BD1D2F"/>
    <w:rsid w:val="00BD43A6"/>
    <w:rsid w:val="00BD76F0"/>
    <w:rsid w:val="00BE5343"/>
    <w:rsid w:val="00BE584F"/>
    <w:rsid w:val="00BF0826"/>
    <w:rsid w:val="00BF117A"/>
    <w:rsid w:val="00BF11A1"/>
    <w:rsid w:val="00BF3364"/>
    <w:rsid w:val="00BF4EDC"/>
    <w:rsid w:val="00BF6F3C"/>
    <w:rsid w:val="00BF74C3"/>
    <w:rsid w:val="00BF7975"/>
    <w:rsid w:val="00C061F1"/>
    <w:rsid w:val="00C105F3"/>
    <w:rsid w:val="00C149C2"/>
    <w:rsid w:val="00C2215B"/>
    <w:rsid w:val="00C22238"/>
    <w:rsid w:val="00C2357D"/>
    <w:rsid w:val="00C2518B"/>
    <w:rsid w:val="00C256F7"/>
    <w:rsid w:val="00C25C69"/>
    <w:rsid w:val="00C31501"/>
    <w:rsid w:val="00C33058"/>
    <w:rsid w:val="00C33520"/>
    <w:rsid w:val="00C35A0F"/>
    <w:rsid w:val="00C37381"/>
    <w:rsid w:val="00C373E3"/>
    <w:rsid w:val="00C43536"/>
    <w:rsid w:val="00C445D2"/>
    <w:rsid w:val="00C4547D"/>
    <w:rsid w:val="00C4592F"/>
    <w:rsid w:val="00C47274"/>
    <w:rsid w:val="00C50D6C"/>
    <w:rsid w:val="00C51EE7"/>
    <w:rsid w:val="00C616F1"/>
    <w:rsid w:val="00C64364"/>
    <w:rsid w:val="00C65D77"/>
    <w:rsid w:val="00C65F10"/>
    <w:rsid w:val="00C716C0"/>
    <w:rsid w:val="00C721EB"/>
    <w:rsid w:val="00C76AD9"/>
    <w:rsid w:val="00C80002"/>
    <w:rsid w:val="00C823C1"/>
    <w:rsid w:val="00C8275D"/>
    <w:rsid w:val="00C83A51"/>
    <w:rsid w:val="00C8577C"/>
    <w:rsid w:val="00C90635"/>
    <w:rsid w:val="00C9111D"/>
    <w:rsid w:val="00C91B41"/>
    <w:rsid w:val="00C9227A"/>
    <w:rsid w:val="00C9257E"/>
    <w:rsid w:val="00C9362A"/>
    <w:rsid w:val="00C96D3E"/>
    <w:rsid w:val="00CA03F7"/>
    <w:rsid w:val="00CA2102"/>
    <w:rsid w:val="00CA24B0"/>
    <w:rsid w:val="00CA2F83"/>
    <w:rsid w:val="00CA43F5"/>
    <w:rsid w:val="00CA789A"/>
    <w:rsid w:val="00CA7EC6"/>
    <w:rsid w:val="00CB072C"/>
    <w:rsid w:val="00CB16A0"/>
    <w:rsid w:val="00CB3127"/>
    <w:rsid w:val="00CB4E23"/>
    <w:rsid w:val="00CC0A74"/>
    <w:rsid w:val="00CC104D"/>
    <w:rsid w:val="00CC387B"/>
    <w:rsid w:val="00CC4674"/>
    <w:rsid w:val="00CC6597"/>
    <w:rsid w:val="00CC7D17"/>
    <w:rsid w:val="00CD0DE9"/>
    <w:rsid w:val="00CD4B4E"/>
    <w:rsid w:val="00CD55D1"/>
    <w:rsid w:val="00CD68ED"/>
    <w:rsid w:val="00CD6E5C"/>
    <w:rsid w:val="00CE7FD4"/>
    <w:rsid w:val="00CF13B6"/>
    <w:rsid w:val="00CF4144"/>
    <w:rsid w:val="00D0724E"/>
    <w:rsid w:val="00D07375"/>
    <w:rsid w:val="00D10F1F"/>
    <w:rsid w:val="00D11A05"/>
    <w:rsid w:val="00D123AE"/>
    <w:rsid w:val="00D12507"/>
    <w:rsid w:val="00D13935"/>
    <w:rsid w:val="00D157C9"/>
    <w:rsid w:val="00D15DF3"/>
    <w:rsid w:val="00D1609E"/>
    <w:rsid w:val="00D17358"/>
    <w:rsid w:val="00D21388"/>
    <w:rsid w:val="00D26C60"/>
    <w:rsid w:val="00D313FC"/>
    <w:rsid w:val="00D34450"/>
    <w:rsid w:val="00D40607"/>
    <w:rsid w:val="00D47CFA"/>
    <w:rsid w:val="00D60733"/>
    <w:rsid w:val="00D6083B"/>
    <w:rsid w:val="00D6597D"/>
    <w:rsid w:val="00D67AF0"/>
    <w:rsid w:val="00D71071"/>
    <w:rsid w:val="00D76012"/>
    <w:rsid w:val="00D76784"/>
    <w:rsid w:val="00D82DEF"/>
    <w:rsid w:val="00D8316E"/>
    <w:rsid w:val="00D84A94"/>
    <w:rsid w:val="00D85EE4"/>
    <w:rsid w:val="00D90B01"/>
    <w:rsid w:val="00D91A0F"/>
    <w:rsid w:val="00D94AF6"/>
    <w:rsid w:val="00DA2A68"/>
    <w:rsid w:val="00DB0E35"/>
    <w:rsid w:val="00DB18D0"/>
    <w:rsid w:val="00DB56B7"/>
    <w:rsid w:val="00DB63A6"/>
    <w:rsid w:val="00DC6485"/>
    <w:rsid w:val="00DD0D45"/>
    <w:rsid w:val="00DD1374"/>
    <w:rsid w:val="00DD1958"/>
    <w:rsid w:val="00DD5AE1"/>
    <w:rsid w:val="00DE178E"/>
    <w:rsid w:val="00DE17F3"/>
    <w:rsid w:val="00DE1DF1"/>
    <w:rsid w:val="00DE26B6"/>
    <w:rsid w:val="00DE393B"/>
    <w:rsid w:val="00DE5977"/>
    <w:rsid w:val="00DE6B41"/>
    <w:rsid w:val="00DF25FA"/>
    <w:rsid w:val="00DF3F81"/>
    <w:rsid w:val="00DF4D7E"/>
    <w:rsid w:val="00DF64ED"/>
    <w:rsid w:val="00E00459"/>
    <w:rsid w:val="00E00567"/>
    <w:rsid w:val="00E00AD0"/>
    <w:rsid w:val="00E01D01"/>
    <w:rsid w:val="00E04D88"/>
    <w:rsid w:val="00E05A36"/>
    <w:rsid w:val="00E12028"/>
    <w:rsid w:val="00E179B4"/>
    <w:rsid w:val="00E17DB7"/>
    <w:rsid w:val="00E20E44"/>
    <w:rsid w:val="00E222E0"/>
    <w:rsid w:val="00E231D7"/>
    <w:rsid w:val="00E23F4A"/>
    <w:rsid w:val="00E24AB7"/>
    <w:rsid w:val="00E26D2A"/>
    <w:rsid w:val="00E365FF"/>
    <w:rsid w:val="00E36C8B"/>
    <w:rsid w:val="00E43910"/>
    <w:rsid w:val="00E43EA1"/>
    <w:rsid w:val="00E44445"/>
    <w:rsid w:val="00E4475A"/>
    <w:rsid w:val="00E44B16"/>
    <w:rsid w:val="00E47CF4"/>
    <w:rsid w:val="00E51558"/>
    <w:rsid w:val="00E518CF"/>
    <w:rsid w:val="00E533F4"/>
    <w:rsid w:val="00E63F77"/>
    <w:rsid w:val="00E6415C"/>
    <w:rsid w:val="00E64672"/>
    <w:rsid w:val="00E651DF"/>
    <w:rsid w:val="00E656C2"/>
    <w:rsid w:val="00E65875"/>
    <w:rsid w:val="00E70B05"/>
    <w:rsid w:val="00E72605"/>
    <w:rsid w:val="00E75B13"/>
    <w:rsid w:val="00E76B9C"/>
    <w:rsid w:val="00E77587"/>
    <w:rsid w:val="00E777CD"/>
    <w:rsid w:val="00E82481"/>
    <w:rsid w:val="00E92678"/>
    <w:rsid w:val="00E97528"/>
    <w:rsid w:val="00EA5325"/>
    <w:rsid w:val="00EB080C"/>
    <w:rsid w:val="00EB0BB9"/>
    <w:rsid w:val="00EB1DFE"/>
    <w:rsid w:val="00EB230F"/>
    <w:rsid w:val="00EB3551"/>
    <w:rsid w:val="00EB71B8"/>
    <w:rsid w:val="00EC0F62"/>
    <w:rsid w:val="00EC1613"/>
    <w:rsid w:val="00EC2FA2"/>
    <w:rsid w:val="00EC3AA9"/>
    <w:rsid w:val="00EC54B3"/>
    <w:rsid w:val="00EC5578"/>
    <w:rsid w:val="00EC5984"/>
    <w:rsid w:val="00EC59B5"/>
    <w:rsid w:val="00EC6556"/>
    <w:rsid w:val="00EC6F5E"/>
    <w:rsid w:val="00ED07CA"/>
    <w:rsid w:val="00ED5FB2"/>
    <w:rsid w:val="00ED7B15"/>
    <w:rsid w:val="00EE15B8"/>
    <w:rsid w:val="00EE484C"/>
    <w:rsid w:val="00EE7316"/>
    <w:rsid w:val="00EF257B"/>
    <w:rsid w:val="00EF2F3C"/>
    <w:rsid w:val="00EF5754"/>
    <w:rsid w:val="00EF575F"/>
    <w:rsid w:val="00EF7758"/>
    <w:rsid w:val="00F01BE2"/>
    <w:rsid w:val="00F02413"/>
    <w:rsid w:val="00F03CCD"/>
    <w:rsid w:val="00F045D2"/>
    <w:rsid w:val="00F060CA"/>
    <w:rsid w:val="00F111BE"/>
    <w:rsid w:val="00F2063E"/>
    <w:rsid w:val="00F21C28"/>
    <w:rsid w:val="00F22A7C"/>
    <w:rsid w:val="00F24A5E"/>
    <w:rsid w:val="00F263FF"/>
    <w:rsid w:val="00F34CF9"/>
    <w:rsid w:val="00F35DF1"/>
    <w:rsid w:val="00F40207"/>
    <w:rsid w:val="00F40212"/>
    <w:rsid w:val="00F43A4F"/>
    <w:rsid w:val="00F54C6C"/>
    <w:rsid w:val="00F5745D"/>
    <w:rsid w:val="00F57E82"/>
    <w:rsid w:val="00F617DE"/>
    <w:rsid w:val="00F623FE"/>
    <w:rsid w:val="00F64771"/>
    <w:rsid w:val="00F705C3"/>
    <w:rsid w:val="00F71C22"/>
    <w:rsid w:val="00F73EB1"/>
    <w:rsid w:val="00F77454"/>
    <w:rsid w:val="00F80A1A"/>
    <w:rsid w:val="00F85D6D"/>
    <w:rsid w:val="00F90109"/>
    <w:rsid w:val="00F974A8"/>
    <w:rsid w:val="00FA039E"/>
    <w:rsid w:val="00FA0BA4"/>
    <w:rsid w:val="00FA1613"/>
    <w:rsid w:val="00FA1C02"/>
    <w:rsid w:val="00FA4005"/>
    <w:rsid w:val="00FA4F8E"/>
    <w:rsid w:val="00FA6B68"/>
    <w:rsid w:val="00FA6CF3"/>
    <w:rsid w:val="00FB1F10"/>
    <w:rsid w:val="00FB697D"/>
    <w:rsid w:val="00FC1AED"/>
    <w:rsid w:val="00FC2863"/>
    <w:rsid w:val="00FC5526"/>
    <w:rsid w:val="00FD128E"/>
    <w:rsid w:val="00FD5B02"/>
    <w:rsid w:val="00FE0890"/>
    <w:rsid w:val="00FE439C"/>
    <w:rsid w:val="00FE5C00"/>
    <w:rsid w:val="00FE6967"/>
    <w:rsid w:val="00FE7768"/>
    <w:rsid w:val="00FF1453"/>
    <w:rsid w:val="00FF1F67"/>
    <w:rsid w:val="00FF5590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A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83A51"/>
    <w:pPr>
      <w:ind w:left="720"/>
      <w:contextualSpacing/>
    </w:pPr>
  </w:style>
  <w:style w:type="table" w:styleId="TableGrid">
    <w:name w:val="Table Grid"/>
    <w:basedOn w:val="TableNormal"/>
    <w:uiPriority w:val="59"/>
    <w:rsid w:val="00C8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AC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57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6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6A6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83A51"/>
    <w:pPr>
      <w:ind w:left="720"/>
      <w:contextualSpacing/>
    </w:pPr>
  </w:style>
  <w:style w:type="table" w:styleId="TableGrid">
    <w:name w:val="Table Grid"/>
    <w:basedOn w:val="TableNormal"/>
    <w:uiPriority w:val="59"/>
    <w:rsid w:val="00C83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AC"/>
    <w:rPr>
      <w:rFonts w:ascii="Tahoma" w:hAnsi="Tahoma" w:cs="Tahoma"/>
      <w:sz w:val="16"/>
      <w:szCs w:val="16"/>
    </w:rPr>
  </w:style>
  <w:style w:type="character" w:customStyle="1" w:styleId="ssens">
    <w:name w:val="ssens"/>
    <w:basedOn w:val="DefaultParagraphFont"/>
    <w:rsid w:val="0057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Skip Tyler</cp:lastModifiedBy>
  <cp:revision>6</cp:revision>
  <cp:lastPrinted>2013-02-27T17:18:00Z</cp:lastPrinted>
  <dcterms:created xsi:type="dcterms:W3CDTF">2013-02-26T18:25:00Z</dcterms:created>
  <dcterms:modified xsi:type="dcterms:W3CDTF">2013-07-08T18:55:00Z</dcterms:modified>
</cp:coreProperties>
</file>